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AD338" w14:textId="77777777" w:rsidR="00EA4907" w:rsidRDefault="00EA4907" w:rsidP="00EA4907">
      <w:pPr>
        <w:widowControl/>
        <w:snapToGrid w:val="0"/>
        <w:spacing w:line="360" w:lineRule="auto"/>
        <w:jc w:val="center"/>
        <w:rPr>
          <w:rFonts w:ascii="方正小标宋简体" w:eastAsia="方正小标宋简体" w:hAnsi="方正小标宋简体" w:cs="方正小标宋简体"/>
          <w:b/>
          <w:bCs/>
          <w:spacing w:val="-10"/>
          <w:sz w:val="40"/>
          <w:szCs w:val="40"/>
        </w:rPr>
      </w:pPr>
      <w:r>
        <w:rPr>
          <w:rFonts w:ascii="方正小标宋简体" w:eastAsia="方正小标宋简体" w:hAnsi="方正小标宋简体" w:cs="方正小标宋简体" w:hint="eastAsia"/>
          <w:b/>
          <w:bCs/>
          <w:spacing w:val="-10"/>
          <w:sz w:val="40"/>
          <w:szCs w:val="40"/>
        </w:rPr>
        <w:t>同济大学新生院2</w:t>
      </w:r>
      <w:r>
        <w:rPr>
          <w:rFonts w:ascii="方正小标宋简体" w:eastAsia="方正小标宋简体" w:hAnsi="方正小标宋简体" w:cs="方正小标宋简体"/>
          <w:b/>
          <w:bCs/>
          <w:spacing w:val="-10"/>
          <w:sz w:val="40"/>
          <w:szCs w:val="40"/>
        </w:rPr>
        <w:t>022-2023</w:t>
      </w:r>
      <w:r>
        <w:rPr>
          <w:rFonts w:ascii="方正小标宋简体" w:eastAsia="方正小标宋简体" w:hAnsi="方正小标宋简体" w:cs="方正小标宋简体" w:hint="eastAsia"/>
          <w:b/>
          <w:bCs/>
          <w:spacing w:val="-10"/>
          <w:sz w:val="40"/>
          <w:szCs w:val="40"/>
        </w:rPr>
        <w:t>学年本科生奖学金</w:t>
      </w:r>
    </w:p>
    <w:p w14:paraId="25960208" w14:textId="77777777" w:rsidR="00EA4907" w:rsidRDefault="00EA4907" w:rsidP="00EA4907">
      <w:pPr>
        <w:widowControl/>
        <w:snapToGrid w:val="0"/>
        <w:spacing w:line="360" w:lineRule="auto"/>
        <w:jc w:val="center"/>
        <w:rPr>
          <w:rFonts w:ascii="方正小标宋简体" w:eastAsia="方正小标宋简体" w:hAnsi="方正小标宋简体" w:cs="方正小标宋简体"/>
          <w:b/>
          <w:bCs/>
          <w:spacing w:val="-10"/>
          <w:sz w:val="40"/>
          <w:szCs w:val="40"/>
        </w:rPr>
      </w:pPr>
      <w:r>
        <w:rPr>
          <w:rFonts w:ascii="方正小标宋简体" w:eastAsia="方正小标宋简体" w:hAnsi="方正小标宋简体" w:cs="方正小标宋简体" w:hint="eastAsia"/>
          <w:b/>
          <w:bCs/>
          <w:spacing w:val="-10"/>
          <w:sz w:val="40"/>
          <w:szCs w:val="40"/>
        </w:rPr>
        <w:t>评定细则</w:t>
      </w:r>
    </w:p>
    <w:p w14:paraId="06D8BBF6" w14:textId="77777777" w:rsidR="00EA4907" w:rsidRDefault="00EA4907" w:rsidP="00EA4907">
      <w:pPr>
        <w:widowControl/>
        <w:snapToGrid w:val="0"/>
        <w:spacing w:line="360" w:lineRule="auto"/>
        <w:ind w:firstLineChars="200" w:firstLine="643"/>
        <w:rPr>
          <w:rFonts w:ascii="黑体" w:eastAsia="黑体" w:hAnsi="黑体" w:cs="Calibri"/>
          <w:b/>
          <w:sz w:val="32"/>
          <w:szCs w:val="32"/>
        </w:rPr>
      </w:pPr>
      <w:r>
        <w:rPr>
          <w:rFonts w:ascii="黑体" w:eastAsia="黑体" w:hAnsi="黑体" w:cs="Calibri" w:hint="eastAsia"/>
          <w:b/>
          <w:sz w:val="32"/>
          <w:szCs w:val="32"/>
        </w:rPr>
        <w:t xml:space="preserve">第一条 </w:t>
      </w:r>
      <w:r>
        <w:rPr>
          <w:rFonts w:ascii="黑体" w:eastAsia="黑体" w:hAnsi="黑体" w:cs="Calibri"/>
          <w:b/>
          <w:sz w:val="32"/>
          <w:szCs w:val="32"/>
        </w:rPr>
        <w:t xml:space="preserve"> </w:t>
      </w:r>
      <w:r>
        <w:rPr>
          <w:rFonts w:ascii="黑体" w:eastAsia="黑体" w:hAnsi="黑体" w:cs="Calibri" w:hint="eastAsia"/>
          <w:b/>
          <w:sz w:val="32"/>
          <w:szCs w:val="32"/>
        </w:rPr>
        <w:t>总则</w:t>
      </w:r>
    </w:p>
    <w:p w14:paraId="43AF71AE" w14:textId="77777777" w:rsidR="00EA4907" w:rsidRDefault="00EA4907" w:rsidP="00EA4907">
      <w:pPr>
        <w:widowControl/>
        <w:snapToGrid w:val="0"/>
        <w:spacing w:line="360" w:lineRule="auto"/>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为激励学生勤奋学习，努力进取，促进学生德、智、体、美、</w:t>
      </w:r>
      <w:proofErr w:type="gramStart"/>
      <w:r>
        <w:rPr>
          <w:rFonts w:ascii="仿宋_GB2312" w:eastAsia="仿宋_GB2312" w:hAnsi="仿宋_GB2312" w:hint="eastAsia"/>
          <w:color w:val="000000"/>
          <w:sz w:val="32"/>
        </w:rPr>
        <w:t>劳</w:t>
      </w:r>
      <w:proofErr w:type="gramEnd"/>
      <w:r>
        <w:rPr>
          <w:rFonts w:ascii="仿宋_GB2312" w:eastAsia="仿宋_GB2312" w:hAnsi="仿宋_GB2312" w:hint="eastAsia"/>
          <w:color w:val="000000"/>
          <w:sz w:val="32"/>
        </w:rPr>
        <w:t>全面发展，根据《同济大学本科生奖励管理办法》《同济大学本科优秀学生奖学金评定细则》《同济大学本科生国家奖学金评定细则》《同济大学本科生上海市奖学金评定细则》《同济大学本科生国家励志奖学金评定细则》和《同济大学本科生社会活动奖学金评定细则》等文件规定，结合我院实际情况，特制定本细则。</w:t>
      </w:r>
    </w:p>
    <w:p w14:paraId="3CA90B95" w14:textId="77777777" w:rsidR="00EA4907" w:rsidRDefault="00EA4907" w:rsidP="00EA4907">
      <w:pPr>
        <w:widowControl/>
        <w:snapToGrid w:val="0"/>
        <w:spacing w:line="360" w:lineRule="auto"/>
        <w:ind w:firstLineChars="200" w:firstLine="643"/>
        <w:rPr>
          <w:rFonts w:ascii="黑体" w:eastAsia="黑体" w:hAnsi="黑体" w:cs="Calibri"/>
          <w:b/>
          <w:sz w:val="32"/>
          <w:szCs w:val="32"/>
        </w:rPr>
      </w:pPr>
      <w:r>
        <w:rPr>
          <w:rFonts w:ascii="黑体" w:eastAsia="黑体" w:hAnsi="黑体" w:cs="Calibri" w:hint="eastAsia"/>
          <w:b/>
          <w:sz w:val="32"/>
          <w:szCs w:val="32"/>
        </w:rPr>
        <w:t xml:space="preserve">第二条 </w:t>
      </w:r>
      <w:r>
        <w:rPr>
          <w:rFonts w:ascii="黑体" w:eastAsia="黑体" w:hAnsi="黑体" w:cs="Calibri"/>
          <w:b/>
          <w:sz w:val="32"/>
          <w:szCs w:val="32"/>
        </w:rPr>
        <w:t xml:space="preserve"> </w:t>
      </w:r>
      <w:r>
        <w:rPr>
          <w:rFonts w:ascii="黑体" w:eastAsia="黑体" w:hAnsi="黑体" w:cs="Calibri" w:hint="eastAsia"/>
          <w:b/>
          <w:sz w:val="32"/>
          <w:szCs w:val="32"/>
        </w:rPr>
        <w:t>奖励对象与奖励标准</w:t>
      </w:r>
    </w:p>
    <w:p w14:paraId="3C2E3822" w14:textId="77777777" w:rsidR="00EA4907" w:rsidRDefault="00EA4907" w:rsidP="00EA4907">
      <w:pPr>
        <w:widowControl/>
        <w:snapToGrid w:val="0"/>
        <w:spacing w:line="360" w:lineRule="auto"/>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奖励对象与奖励标准按照同济大学各类本科生奖学金评定细则规定执行。</w:t>
      </w:r>
    </w:p>
    <w:p w14:paraId="542C447F" w14:textId="77777777" w:rsidR="00EA4907" w:rsidRDefault="00EA4907" w:rsidP="00EA4907">
      <w:pPr>
        <w:widowControl/>
        <w:snapToGrid w:val="0"/>
        <w:spacing w:line="360" w:lineRule="auto"/>
        <w:ind w:firstLineChars="200" w:firstLine="643"/>
        <w:rPr>
          <w:rFonts w:ascii="仿宋_GB2312" w:eastAsia="仿宋_GB2312" w:hAnsi="仿宋_GB2312"/>
          <w:color w:val="000000"/>
          <w:sz w:val="32"/>
        </w:rPr>
      </w:pPr>
      <w:r>
        <w:rPr>
          <w:rFonts w:ascii="黑体" w:eastAsia="黑体" w:hAnsi="黑体" w:cs="Calibri" w:hint="eastAsia"/>
          <w:b/>
          <w:sz w:val="32"/>
          <w:szCs w:val="32"/>
        </w:rPr>
        <w:t>第三条 评奖条件</w:t>
      </w:r>
    </w:p>
    <w:p w14:paraId="414C954D" w14:textId="77777777" w:rsidR="00EA4907" w:rsidRDefault="00EA4907" w:rsidP="00EA4907">
      <w:pPr>
        <w:widowControl/>
        <w:snapToGrid w:val="0"/>
        <w:spacing w:line="360" w:lineRule="auto"/>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（一）基本条件</w:t>
      </w:r>
    </w:p>
    <w:p w14:paraId="32088AA8" w14:textId="77777777" w:rsidR="00EA4907" w:rsidRDefault="00EA4907" w:rsidP="00EA4907">
      <w:pPr>
        <w:widowControl/>
        <w:snapToGrid w:val="0"/>
        <w:spacing w:line="360" w:lineRule="auto"/>
        <w:ind w:firstLineChars="200" w:firstLine="640"/>
        <w:rPr>
          <w:rFonts w:ascii="仿宋_GB2312" w:eastAsia="仿宋_GB2312" w:hAnsi="仿宋_GB2312"/>
          <w:color w:val="000000"/>
          <w:sz w:val="32"/>
        </w:rPr>
      </w:pPr>
      <w:r>
        <w:rPr>
          <w:rFonts w:ascii="仿宋_GB2312" w:eastAsia="仿宋_GB2312" w:hAnsi="仿宋_GB2312"/>
          <w:color w:val="000000"/>
          <w:sz w:val="32"/>
        </w:rPr>
        <w:t>1.</w:t>
      </w:r>
      <w:r>
        <w:rPr>
          <w:rFonts w:ascii="仿宋_GB2312" w:eastAsia="仿宋_GB2312" w:hAnsi="仿宋_GB2312" w:hint="eastAsia"/>
          <w:color w:val="000000"/>
          <w:sz w:val="32"/>
        </w:rPr>
        <w:t>符合《同济大学本科生奖励管理办法》和同济大学各类奖学金评定细则中相关评奖条件</w:t>
      </w:r>
      <w:r>
        <w:rPr>
          <w:rFonts w:ascii="仿宋_GB2312" w:eastAsia="仿宋_GB2312" w:hAnsi="仿宋_GB2312"/>
          <w:color w:val="000000"/>
          <w:sz w:val="32"/>
        </w:rPr>
        <w:t>；</w:t>
      </w:r>
    </w:p>
    <w:p w14:paraId="0CBC2726" w14:textId="77777777" w:rsidR="00EA4907" w:rsidRDefault="00EA4907" w:rsidP="00EA4907">
      <w:pPr>
        <w:widowControl/>
        <w:snapToGrid w:val="0"/>
        <w:spacing w:line="360" w:lineRule="auto"/>
        <w:ind w:firstLineChars="200" w:firstLine="640"/>
        <w:rPr>
          <w:rFonts w:ascii="仿宋_GB2312" w:eastAsia="仿宋_GB2312" w:hAnsi="仿宋_GB2312"/>
          <w:color w:val="000000"/>
          <w:sz w:val="32"/>
        </w:rPr>
      </w:pPr>
      <w:r>
        <w:rPr>
          <w:rFonts w:ascii="仿宋_GB2312" w:eastAsia="仿宋_GB2312" w:hAnsi="仿宋_GB2312"/>
          <w:color w:val="000000"/>
          <w:sz w:val="32"/>
        </w:rPr>
        <w:t>2.</w:t>
      </w:r>
      <w:r>
        <w:rPr>
          <w:rFonts w:ascii="仿宋_GB2312" w:eastAsia="仿宋_GB2312" w:hAnsi="仿宋_GB2312" w:hint="eastAsia"/>
          <w:color w:val="000000"/>
          <w:sz w:val="32"/>
        </w:rPr>
        <w:t>参评学年中，</w:t>
      </w:r>
      <w:r>
        <w:rPr>
          <w:rFonts w:ascii="仿宋_GB2312" w:eastAsia="仿宋_GB2312" w:hAnsi="仿宋_GB2312"/>
          <w:color w:val="000000"/>
          <w:sz w:val="32"/>
        </w:rPr>
        <w:t>同济大学新生院学生全面发展“五育”培养及评价方案</w:t>
      </w:r>
      <w:r>
        <w:rPr>
          <w:rFonts w:ascii="仿宋_GB2312" w:eastAsia="仿宋_GB2312" w:hAnsi="仿宋_GB2312" w:hint="eastAsia"/>
          <w:color w:val="000000"/>
          <w:sz w:val="32"/>
        </w:rPr>
        <w:t>成绩</w:t>
      </w:r>
      <w:r>
        <w:rPr>
          <w:rFonts w:ascii="仿宋_GB2312" w:eastAsia="仿宋_GB2312" w:hAnsi="仿宋_GB2312"/>
          <w:color w:val="000000"/>
          <w:sz w:val="32"/>
        </w:rPr>
        <w:t>总分</w:t>
      </w:r>
      <w:r>
        <w:rPr>
          <w:rFonts w:ascii="仿宋_GB2312" w:eastAsia="仿宋_GB2312" w:hAnsi="仿宋_GB2312" w:hint="eastAsia"/>
          <w:color w:val="000000"/>
          <w:sz w:val="32"/>
        </w:rPr>
        <w:t>超过</w:t>
      </w:r>
      <w:r>
        <w:rPr>
          <w:rFonts w:ascii="仿宋_GB2312" w:eastAsia="仿宋_GB2312" w:hAnsi="仿宋_GB2312"/>
          <w:color w:val="000000"/>
          <w:sz w:val="32"/>
        </w:rPr>
        <w:t>80分</w:t>
      </w:r>
      <w:r>
        <w:rPr>
          <w:rFonts w:ascii="仿宋_GB2312" w:eastAsia="仿宋_GB2312" w:hAnsi="仿宋_GB2312" w:hint="eastAsia"/>
          <w:color w:val="000000"/>
          <w:sz w:val="32"/>
        </w:rPr>
        <w:t>（含8</w:t>
      </w:r>
      <w:r>
        <w:rPr>
          <w:rFonts w:ascii="仿宋_GB2312" w:eastAsia="仿宋_GB2312" w:hAnsi="仿宋_GB2312"/>
          <w:color w:val="000000"/>
          <w:sz w:val="32"/>
        </w:rPr>
        <w:t>0</w:t>
      </w:r>
      <w:r>
        <w:rPr>
          <w:rFonts w:ascii="仿宋_GB2312" w:eastAsia="仿宋_GB2312" w:hAnsi="仿宋_GB2312" w:hint="eastAsia"/>
          <w:color w:val="000000"/>
          <w:sz w:val="32"/>
        </w:rPr>
        <w:t>分）。</w:t>
      </w:r>
    </w:p>
    <w:p w14:paraId="2936A7A9" w14:textId="77777777" w:rsidR="00EA4907" w:rsidRDefault="00EA4907" w:rsidP="00EA4907">
      <w:pPr>
        <w:widowControl/>
        <w:snapToGrid w:val="0"/>
        <w:spacing w:line="360" w:lineRule="auto"/>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lastRenderedPageBreak/>
        <w:t>（二）在参评学年中，有下列情况之一者，经学堂奖学金评审小组认定，并上报新生院奖学金评审领导小组备案，不能参加评奖或降低一个评奖等级：</w:t>
      </w:r>
    </w:p>
    <w:p w14:paraId="30CAC37B" w14:textId="77777777" w:rsidR="00EA4907" w:rsidRDefault="00EA4907" w:rsidP="00EA4907">
      <w:pPr>
        <w:widowControl/>
        <w:snapToGrid w:val="0"/>
        <w:spacing w:line="360" w:lineRule="auto"/>
        <w:ind w:firstLineChars="200" w:firstLine="640"/>
        <w:rPr>
          <w:rFonts w:ascii="仿宋_GB2312" w:eastAsia="仿宋_GB2312" w:hAnsi="仿宋_GB2312"/>
          <w:color w:val="000000"/>
          <w:sz w:val="32"/>
        </w:rPr>
      </w:pPr>
      <w:r>
        <w:rPr>
          <w:rFonts w:ascii="仿宋_GB2312" w:eastAsia="仿宋_GB2312" w:hAnsi="仿宋_GB2312"/>
          <w:color w:val="000000"/>
          <w:sz w:val="32"/>
        </w:rPr>
        <w:t>1</w:t>
      </w:r>
      <w:r>
        <w:rPr>
          <w:rFonts w:ascii="仿宋_GB2312" w:eastAsia="仿宋_GB2312" w:hAnsi="仿宋_GB2312" w:hint="eastAsia"/>
          <w:color w:val="000000"/>
          <w:sz w:val="32"/>
        </w:rPr>
        <w:t>.《同济大学本科生奖励管理办法》和同济大学各类奖学金评定细则等文件中规定不能参加评奖或降低一个评奖等级的情况；</w:t>
      </w:r>
    </w:p>
    <w:p w14:paraId="6DBA0B4A" w14:textId="77777777" w:rsidR="00EA4907" w:rsidRDefault="00EA4907" w:rsidP="00EA4907">
      <w:pPr>
        <w:widowControl/>
        <w:snapToGrid w:val="0"/>
        <w:spacing w:line="360" w:lineRule="auto"/>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2.其他经学校、学院或学堂认定不能参加评奖或降低一个评奖等级的情况。</w:t>
      </w:r>
    </w:p>
    <w:p w14:paraId="15500C46" w14:textId="77777777" w:rsidR="00EA4907" w:rsidRDefault="00EA4907" w:rsidP="00EA4907">
      <w:pPr>
        <w:widowControl/>
        <w:snapToGrid w:val="0"/>
        <w:spacing w:line="360" w:lineRule="auto"/>
        <w:ind w:firstLineChars="200" w:firstLine="643"/>
        <w:rPr>
          <w:rFonts w:ascii="黑体" w:eastAsia="黑体" w:hAnsi="黑体" w:cs="Calibri"/>
          <w:b/>
          <w:sz w:val="32"/>
          <w:szCs w:val="32"/>
        </w:rPr>
      </w:pPr>
      <w:r>
        <w:rPr>
          <w:rFonts w:ascii="黑体" w:eastAsia="黑体" w:hAnsi="黑体" w:cs="Calibri" w:hint="eastAsia"/>
          <w:b/>
          <w:sz w:val="32"/>
          <w:szCs w:val="32"/>
        </w:rPr>
        <w:t xml:space="preserve">第四条 </w:t>
      </w:r>
      <w:r>
        <w:rPr>
          <w:rFonts w:ascii="黑体" w:eastAsia="黑体" w:hAnsi="黑体" w:cs="Calibri"/>
          <w:b/>
          <w:sz w:val="32"/>
          <w:szCs w:val="32"/>
        </w:rPr>
        <w:t xml:space="preserve"> </w:t>
      </w:r>
      <w:r>
        <w:rPr>
          <w:rFonts w:ascii="黑体" w:eastAsia="黑体" w:hAnsi="黑体" w:cs="Calibri" w:hint="eastAsia"/>
          <w:b/>
          <w:sz w:val="32"/>
          <w:szCs w:val="32"/>
        </w:rPr>
        <w:t>评奖办法</w:t>
      </w:r>
    </w:p>
    <w:p w14:paraId="3AF38C9B" w14:textId="77777777" w:rsidR="00EA4907" w:rsidRDefault="00EA4907" w:rsidP="00EA4907">
      <w:pPr>
        <w:widowControl/>
        <w:snapToGrid w:val="0"/>
        <w:spacing w:line="360" w:lineRule="auto"/>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除本科生社会活动奖学金外，新生院本科生奖学金评定工作均采用综合成绩进行评选。综合成绩由学习成绩和第二课堂成绩组成</w:t>
      </w:r>
      <w:r>
        <w:rPr>
          <w:rFonts w:ascii="仿宋_GB2312" w:eastAsia="仿宋_GB2312" w:hAnsi="仿宋_GB2312"/>
          <w:color w:val="000000"/>
          <w:sz w:val="32"/>
        </w:rPr>
        <w:t>，</w:t>
      </w:r>
      <w:r>
        <w:rPr>
          <w:rFonts w:ascii="仿宋_GB2312" w:eastAsia="仿宋_GB2312" w:hAnsi="仿宋_GB2312" w:hint="eastAsia"/>
          <w:color w:val="000000"/>
          <w:sz w:val="32"/>
        </w:rPr>
        <w:t>其中</w:t>
      </w:r>
      <w:r>
        <w:rPr>
          <w:rFonts w:ascii="仿宋_GB2312" w:eastAsia="仿宋_GB2312" w:hAnsi="仿宋_GB2312"/>
          <w:color w:val="000000"/>
          <w:sz w:val="32"/>
        </w:rPr>
        <w:t>学习成绩</w:t>
      </w:r>
      <w:r>
        <w:rPr>
          <w:rFonts w:ascii="仿宋_GB2312" w:eastAsia="仿宋_GB2312" w:hAnsi="仿宋_GB2312" w:hint="eastAsia"/>
          <w:color w:val="000000"/>
          <w:sz w:val="32"/>
        </w:rPr>
        <w:t>满分</w:t>
      </w:r>
      <w:r>
        <w:rPr>
          <w:rFonts w:ascii="仿宋_GB2312" w:eastAsia="仿宋_GB2312" w:hAnsi="仿宋_GB2312"/>
          <w:color w:val="000000"/>
          <w:sz w:val="32"/>
        </w:rPr>
        <w:t>100</w:t>
      </w:r>
      <w:r>
        <w:rPr>
          <w:rFonts w:ascii="仿宋_GB2312" w:eastAsia="仿宋_GB2312" w:hAnsi="仿宋_GB2312" w:hint="eastAsia"/>
          <w:color w:val="000000"/>
          <w:sz w:val="32"/>
        </w:rPr>
        <w:t>分</w:t>
      </w:r>
      <w:r>
        <w:rPr>
          <w:rFonts w:ascii="仿宋_GB2312" w:eastAsia="仿宋_GB2312" w:hAnsi="仿宋_GB2312"/>
          <w:color w:val="000000"/>
          <w:sz w:val="32"/>
        </w:rPr>
        <w:t>，</w:t>
      </w:r>
      <w:r>
        <w:rPr>
          <w:rFonts w:ascii="仿宋_GB2312" w:eastAsia="仿宋_GB2312" w:hAnsi="仿宋_GB2312" w:hint="eastAsia"/>
          <w:color w:val="000000"/>
          <w:sz w:val="32"/>
        </w:rPr>
        <w:t>第二课堂成绩满分</w:t>
      </w:r>
      <w:r>
        <w:rPr>
          <w:rFonts w:ascii="仿宋_GB2312" w:eastAsia="仿宋_GB2312" w:hAnsi="仿宋_GB2312"/>
          <w:color w:val="000000"/>
          <w:sz w:val="32"/>
        </w:rPr>
        <w:t>10</w:t>
      </w:r>
      <w:r>
        <w:rPr>
          <w:rFonts w:ascii="仿宋_GB2312" w:eastAsia="仿宋_GB2312" w:hAnsi="仿宋_GB2312" w:hint="eastAsia"/>
          <w:color w:val="000000"/>
          <w:sz w:val="32"/>
        </w:rPr>
        <w:t>分，具体计算方法见附件1。</w:t>
      </w:r>
    </w:p>
    <w:p w14:paraId="2C65F279" w14:textId="77777777" w:rsidR="00EA4907" w:rsidRDefault="00EA4907" w:rsidP="00EA4907">
      <w:pPr>
        <w:widowControl/>
        <w:snapToGrid w:val="0"/>
        <w:spacing w:line="360" w:lineRule="auto"/>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本科生社会活动奖学金综合参评学年相关成绩、社会实践、志愿公益、创新创业等情况进行评审。</w:t>
      </w:r>
    </w:p>
    <w:p w14:paraId="5E13CF77" w14:textId="77777777" w:rsidR="00EA4907" w:rsidRDefault="00EA4907" w:rsidP="00EA4907">
      <w:pPr>
        <w:widowControl/>
        <w:snapToGrid w:val="0"/>
        <w:spacing w:line="360" w:lineRule="auto"/>
        <w:ind w:firstLineChars="200" w:firstLine="643"/>
        <w:rPr>
          <w:rFonts w:ascii="黑体" w:eastAsia="黑体" w:hAnsi="黑体" w:cs="Calibri"/>
          <w:b/>
          <w:sz w:val="32"/>
          <w:szCs w:val="32"/>
        </w:rPr>
      </w:pPr>
      <w:r>
        <w:rPr>
          <w:rFonts w:ascii="黑体" w:eastAsia="黑体" w:hAnsi="黑体" w:cs="Calibri" w:hint="eastAsia"/>
          <w:b/>
          <w:sz w:val="32"/>
          <w:szCs w:val="32"/>
        </w:rPr>
        <w:t>第五条  评审组织</w:t>
      </w:r>
    </w:p>
    <w:p w14:paraId="390AFB52" w14:textId="77777777" w:rsidR="00EA4907" w:rsidRDefault="00EA4907" w:rsidP="00EA4907">
      <w:pPr>
        <w:widowControl/>
        <w:snapToGrid w:val="0"/>
        <w:spacing w:line="360" w:lineRule="auto"/>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学院设立同济大学新生院奖学金评审领导小组，由学院分管学生工作负责人、分管教学工作副院长、辅导员、班主任、</w:t>
      </w:r>
      <w:proofErr w:type="gramStart"/>
      <w:r>
        <w:rPr>
          <w:rFonts w:ascii="仿宋_GB2312" w:eastAsia="仿宋_GB2312" w:hAnsi="仿宋_GB2312" w:hint="eastAsia"/>
          <w:color w:val="000000"/>
          <w:sz w:val="32"/>
        </w:rPr>
        <w:t>教务员</w:t>
      </w:r>
      <w:proofErr w:type="gramEnd"/>
      <w:r>
        <w:rPr>
          <w:rFonts w:ascii="仿宋_GB2312" w:eastAsia="仿宋_GB2312" w:hAnsi="仿宋_GB2312" w:hint="eastAsia"/>
          <w:color w:val="000000"/>
          <w:sz w:val="32"/>
        </w:rPr>
        <w:t>代表等组成。</w:t>
      </w:r>
    </w:p>
    <w:p w14:paraId="755852A0" w14:textId="77777777" w:rsidR="00EA4907" w:rsidRDefault="00EA4907" w:rsidP="00EA4907">
      <w:pPr>
        <w:widowControl/>
        <w:snapToGrid w:val="0"/>
        <w:spacing w:line="360" w:lineRule="auto"/>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各学堂成立奖学金评审小组，由学堂执行院长、</w:t>
      </w:r>
      <w:proofErr w:type="gramStart"/>
      <w:r>
        <w:rPr>
          <w:rFonts w:ascii="仿宋_GB2312" w:eastAsia="仿宋_GB2312" w:hAnsi="仿宋_GB2312" w:hint="eastAsia"/>
          <w:color w:val="000000"/>
          <w:sz w:val="32"/>
        </w:rPr>
        <w:t>学堂副</w:t>
      </w:r>
      <w:proofErr w:type="gramEnd"/>
      <w:r>
        <w:rPr>
          <w:rFonts w:ascii="仿宋_GB2312" w:eastAsia="仿宋_GB2312" w:hAnsi="仿宋_GB2312" w:hint="eastAsia"/>
          <w:color w:val="000000"/>
          <w:sz w:val="32"/>
        </w:rPr>
        <w:t>院长、辅导员、教务员、类</w:t>
      </w:r>
      <w:proofErr w:type="gramStart"/>
      <w:r>
        <w:rPr>
          <w:rFonts w:ascii="仿宋_GB2312" w:eastAsia="仿宋_GB2312" w:hAnsi="仿宋_GB2312" w:hint="eastAsia"/>
          <w:color w:val="000000"/>
          <w:sz w:val="32"/>
        </w:rPr>
        <w:t>内专业</w:t>
      </w:r>
      <w:proofErr w:type="gramEnd"/>
      <w:r>
        <w:rPr>
          <w:rFonts w:ascii="仿宋_GB2312" w:eastAsia="仿宋_GB2312" w:hAnsi="仿宋_GB2312" w:hint="eastAsia"/>
          <w:color w:val="000000"/>
          <w:sz w:val="32"/>
        </w:rPr>
        <w:t>学院二年级辅导员、班主任代表和学生代表组成。</w:t>
      </w:r>
    </w:p>
    <w:p w14:paraId="5866BC29" w14:textId="77777777" w:rsidR="00EA4907" w:rsidRDefault="00EA4907" w:rsidP="00EA4907">
      <w:pPr>
        <w:widowControl/>
        <w:snapToGrid w:val="0"/>
        <w:spacing w:line="360" w:lineRule="auto"/>
        <w:ind w:firstLineChars="200" w:firstLine="643"/>
        <w:rPr>
          <w:rFonts w:ascii="黑体" w:eastAsia="黑体" w:hAnsi="黑体" w:cs="Calibri"/>
          <w:b/>
          <w:sz w:val="32"/>
          <w:szCs w:val="32"/>
        </w:rPr>
      </w:pPr>
      <w:r>
        <w:rPr>
          <w:rFonts w:ascii="黑体" w:eastAsia="黑体" w:hAnsi="黑体" w:cs="Calibri" w:hint="eastAsia"/>
          <w:b/>
          <w:sz w:val="32"/>
          <w:szCs w:val="32"/>
        </w:rPr>
        <w:lastRenderedPageBreak/>
        <w:t>第六条  评审流程</w:t>
      </w:r>
    </w:p>
    <w:p w14:paraId="784D4A6E" w14:textId="77777777" w:rsidR="00EA4907" w:rsidRDefault="00EA4907" w:rsidP="00EA4907">
      <w:pPr>
        <w:widowControl/>
        <w:snapToGrid w:val="0"/>
        <w:spacing w:line="360" w:lineRule="auto"/>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1</w:t>
      </w:r>
      <w:r>
        <w:rPr>
          <w:rFonts w:ascii="仿宋_GB2312" w:eastAsia="仿宋_GB2312" w:hAnsi="仿宋_GB2312"/>
          <w:color w:val="000000"/>
          <w:sz w:val="32"/>
        </w:rPr>
        <w:t>.</w:t>
      </w:r>
      <w:r>
        <w:rPr>
          <w:rFonts w:ascii="仿宋_GB2312" w:eastAsia="仿宋_GB2312" w:hAnsi="仿宋_GB2312" w:hint="eastAsia"/>
          <w:color w:val="000000"/>
          <w:sz w:val="32"/>
        </w:rPr>
        <w:t>同济大学新生院各类奖学金每学年评审一次，评定工作坚持公开、公平、公正、择优的原则；</w:t>
      </w:r>
    </w:p>
    <w:p w14:paraId="482D607C" w14:textId="77777777" w:rsidR="00EA4907" w:rsidRDefault="00EA4907" w:rsidP="00EA4907">
      <w:pPr>
        <w:widowControl/>
        <w:snapToGrid w:val="0"/>
        <w:spacing w:line="360" w:lineRule="auto"/>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2.由本科生院提供每位学生参评学年的选课门数、所选学分、已通过学分、</w:t>
      </w:r>
      <w:proofErr w:type="gramStart"/>
      <w:r>
        <w:rPr>
          <w:rFonts w:ascii="仿宋_GB2312" w:eastAsia="仿宋_GB2312" w:hAnsi="仿宋_GB2312" w:hint="eastAsia"/>
          <w:color w:val="000000"/>
          <w:sz w:val="32"/>
        </w:rPr>
        <w:t>平均绩点等</w:t>
      </w:r>
      <w:proofErr w:type="gramEnd"/>
      <w:r>
        <w:rPr>
          <w:rFonts w:ascii="仿宋_GB2312" w:eastAsia="仿宋_GB2312" w:hAnsi="仿宋_GB2312" w:hint="eastAsia"/>
          <w:color w:val="000000"/>
          <w:sz w:val="32"/>
        </w:rPr>
        <w:t>，作为评奖的基础内容；</w:t>
      </w:r>
    </w:p>
    <w:p w14:paraId="0FDB5F13" w14:textId="77777777" w:rsidR="00EA4907" w:rsidRDefault="00EA4907" w:rsidP="00EA4907">
      <w:pPr>
        <w:widowControl/>
        <w:snapToGrid w:val="0"/>
        <w:spacing w:line="360" w:lineRule="auto"/>
        <w:ind w:firstLineChars="200" w:firstLine="640"/>
        <w:rPr>
          <w:rFonts w:ascii="仿宋_GB2312" w:eastAsia="仿宋_GB2312" w:hAnsi="仿宋_GB2312"/>
          <w:color w:val="000000"/>
          <w:sz w:val="32"/>
        </w:rPr>
      </w:pPr>
      <w:r>
        <w:rPr>
          <w:rFonts w:ascii="仿宋_GB2312" w:eastAsia="仿宋_GB2312" w:hAnsi="仿宋_GB2312"/>
          <w:color w:val="000000"/>
          <w:sz w:val="32"/>
        </w:rPr>
        <w:t>3.学生在学院、学堂通知的规定时间内，按要求提供第二课堂成绩附加</w:t>
      </w:r>
      <w:proofErr w:type="gramStart"/>
      <w:r>
        <w:rPr>
          <w:rFonts w:ascii="仿宋_GB2312" w:eastAsia="仿宋_GB2312" w:hAnsi="仿宋_GB2312"/>
          <w:color w:val="000000"/>
          <w:sz w:val="32"/>
        </w:rPr>
        <w:t>分证明</w:t>
      </w:r>
      <w:proofErr w:type="gramEnd"/>
      <w:r>
        <w:rPr>
          <w:rFonts w:ascii="仿宋_GB2312" w:eastAsia="仿宋_GB2312" w:hAnsi="仿宋_GB2312"/>
          <w:color w:val="000000"/>
          <w:sz w:val="32"/>
        </w:rPr>
        <w:t>材料，以正式获奖证书为准，证书落款时间须在</w:t>
      </w:r>
      <w:proofErr w:type="gramStart"/>
      <w:r>
        <w:rPr>
          <w:rFonts w:ascii="仿宋_GB2312" w:eastAsia="仿宋_GB2312" w:hAnsi="仿宋_GB2312" w:hint="eastAsia"/>
          <w:color w:val="000000"/>
          <w:sz w:val="32"/>
        </w:rPr>
        <w:t>参评年</w:t>
      </w:r>
      <w:proofErr w:type="gramEnd"/>
      <w:r>
        <w:rPr>
          <w:rFonts w:ascii="仿宋_GB2312" w:eastAsia="仿宋_GB2312" w:hAnsi="仿宋_GB2312" w:hint="eastAsia"/>
          <w:color w:val="000000"/>
          <w:sz w:val="32"/>
        </w:rPr>
        <w:t>的</w:t>
      </w:r>
      <w:r>
        <w:rPr>
          <w:rFonts w:ascii="仿宋_GB2312" w:eastAsia="仿宋_GB2312" w:hAnsi="仿宋_GB2312"/>
          <w:color w:val="000000"/>
          <w:sz w:val="32"/>
        </w:rPr>
        <w:t>7月30日前（</w:t>
      </w:r>
      <w:r>
        <w:rPr>
          <w:rFonts w:ascii="仿宋_GB2312" w:eastAsia="仿宋_GB2312" w:hAnsi="仿宋_GB2312" w:hint="eastAsia"/>
          <w:color w:val="000000"/>
          <w:sz w:val="32"/>
        </w:rPr>
        <w:t>含7月</w:t>
      </w:r>
      <w:r>
        <w:rPr>
          <w:rFonts w:ascii="仿宋_GB2312" w:eastAsia="仿宋_GB2312" w:hAnsi="仿宋_GB2312"/>
          <w:color w:val="000000"/>
          <w:sz w:val="32"/>
        </w:rPr>
        <w:t>30</w:t>
      </w:r>
      <w:r>
        <w:rPr>
          <w:rFonts w:ascii="仿宋_GB2312" w:eastAsia="仿宋_GB2312" w:hAnsi="仿宋_GB2312" w:hint="eastAsia"/>
          <w:color w:val="000000"/>
          <w:sz w:val="32"/>
        </w:rPr>
        <w:t>日</w:t>
      </w:r>
      <w:r>
        <w:rPr>
          <w:rFonts w:ascii="仿宋_GB2312" w:eastAsia="仿宋_GB2312" w:hAnsi="仿宋_GB2312"/>
          <w:color w:val="000000"/>
          <w:sz w:val="32"/>
        </w:rPr>
        <w:t>），逾期视为自动放弃（第二课堂成绩基础分无需提交）；</w:t>
      </w:r>
    </w:p>
    <w:p w14:paraId="6DDB1033" w14:textId="77777777" w:rsidR="00EA4907" w:rsidRDefault="00EA4907" w:rsidP="00EA4907">
      <w:pPr>
        <w:widowControl/>
        <w:snapToGrid w:val="0"/>
        <w:spacing w:line="360" w:lineRule="auto"/>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4</w:t>
      </w:r>
      <w:r>
        <w:rPr>
          <w:rFonts w:ascii="仿宋_GB2312" w:eastAsia="仿宋_GB2312" w:hAnsi="仿宋_GB2312"/>
          <w:color w:val="000000"/>
          <w:sz w:val="32"/>
        </w:rPr>
        <w:t>.</w:t>
      </w:r>
      <w:r>
        <w:rPr>
          <w:rFonts w:ascii="仿宋_GB2312" w:eastAsia="仿宋_GB2312" w:hAnsi="仿宋_GB2312" w:hint="eastAsia"/>
          <w:sz w:val="32"/>
        </w:rPr>
        <w:t>新生院奖学金评审领导小组和各</w:t>
      </w:r>
      <w:r>
        <w:rPr>
          <w:rFonts w:ascii="仿宋_GB2312" w:eastAsia="仿宋_GB2312" w:hAnsi="仿宋_GB2312" w:hint="eastAsia"/>
          <w:color w:val="000000"/>
          <w:sz w:val="32"/>
        </w:rPr>
        <w:t>学堂奖学金评审小组依据当年各类奖学金名额分配情况、学生学习成绩排名、综合排名等，确定各奖项拟获奖学生名单并公示；</w:t>
      </w:r>
    </w:p>
    <w:p w14:paraId="08096C7E" w14:textId="77777777" w:rsidR="00EA4907" w:rsidRDefault="00EA4907" w:rsidP="00EA4907">
      <w:pPr>
        <w:widowControl/>
        <w:snapToGrid w:val="0"/>
        <w:spacing w:line="360" w:lineRule="auto"/>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5</w:t>
      </w:r>
      <w:r>
        <w:rPr>
          <w:rFonts w:ascii="仿宋_GB2312" w:eastAsia="仿宋_GB2312" w:hAnsi="仿宋_GB2312"/>
          <w:color w:val="000000"/>
          <w:sz w:val="32"/>
        </w:rPr>
        <w:t>.</w:t>
      </w:r>
      <w:r>
        <w:rPr>
          <w:rFonts w:ascii="仿宋_GB2312" w:eastAsia="仿宋_GB2312" w:hAnsi="仿宋_GB2312" w:hint="eastAsia"/>
          <w:color w:val="000000"/>
          <w:sz w:val="32"/>
        </w:rPr>
        <w:t>学生个人如对奖学金评选结果有异议，可在公示期间内向奖学金评审小组提出意见，评审小组形成统一意见后及时做出答复；</w:t>
      </w:r>
    </w:p>
    <w:p w14:paraId="6C93C9E7" w14:textId="77777777" w:rsidR="00EA4907" w:rsidRDefault="00EA4907" w:rsidP="00EA4907">
      <w:pPr>
        <w:widowControl/>
        <w:snapToGrid w:val="0"/>
        <w:spacing w:line="360" w:lineRule="auto"/>
        <w:ind w:firstLineChars="200" w:firstLine="640"/>
        <w:rPr>
          <w:rFonts w:ascii="仿宋_GB2312" w:eastAsia="仿宋_GB2312" w:hAnsi="仿宋_GB2312"/>
          <w:color w:val="000000"/>
          <w:sz w:val="32"/>
        </w:rPr>
      </w:pPr>
      <w:r>
        <w:rPr>
          <w:rFonts w:ascii="仿宋_GB2312" w:eastAsia="仿宋_GB2312" w:hAnsi="仿宋_GB2312"/>
          <w:color w:val="000000"/>
          <w:sz w:val="32"/>
        </w:rPr>
        <w:t>6</w:t>
      </w:r>
      <w:r>
        <w:rPr>
          <w:rFonts w:ascii="仿宋_GB2312" w:eastAsia="仿宋_GB2312" w:hAnsi="仿宋_GB2312" w:hint="eastAsia"/>
          <w:color w:val="000000"/>
          <w:sz w:val="32"/>
        </w:rPr>
        <w:t>.公示无异议后按程序上报学校审核；</w:t>
      </w:r>
    </w:p>
    <w:p w14:paraId="7CB5A298" w14:textId="77777777" w:rsidR="00EA4907" w:rsidRDefault="00EA4907" w:rsidP="00EA4907">
      <w:pPr>
        <w:widowControl/>
        <w:snapToGrid w:val="0"/>
        <w:spacing w:line="360" w:lineRule="auto"/>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7.在评定过程中提供虚假材料或者有其他弄虚作假行为者，一经发现，直接取消参评资格，若已完成评定，一经查实，除追回奖学金所得外，将依据《同济大学学生违反校纪校规处分规定》给予严肃处理。</w:t>
      </w:r>
    </w:p>
    <w:p w14:paraId="5F2B8ED6" w14:textId="77777777" w:rsidR="00EA4907" w:rsidRDefault="00EA4907" w:rsidP="00EA4907">
      <w:pPr>
        <w:widowControl/>
        <w:snapToGrid w:val="0"/>
        <w:spacing w:line="360" w:lineRule="auto"/>
        <w:ind w:firstLineChars="200" w:firstLine="643"/>
        <w:rPr>
          <w:rFonts w:ascii="黑体" w:eastAsia="黑体" w:hAnsi="黑体" w:cs="Calibri"/>
          <w:b/>
          <w:sz w:val="32"/>
          <w:szCs w:val="32"/>
        </w:rPr>
      </w:pPr>
      <w:r>
        <w:rPr>
          <w:rFonts w:ascii="黑体" w:eastAsia="黑体" w:hAnsi="黑体" w:cs="Calibri" w:hint="eastAsia"/>
          <w:b/>
          <w:sz w:val="32"/>
          <w:szCs w:val="32"/>
        </w:rPr>
        <w:t>第七条：附则</w:t>
      </w:r>
    </w:p>
    <w:p w14:paraId="25139E0E" w14:textId="77777777" w:rsidR="00EA4907" w:rsidRDefault="00EA4907" w:rsidP="00EA4907">
      <w:pPr>
        <w:widowControl/>
        <w:snapToGrid w:val="0"/>
        <w:spacing w:line="360" w:lineRule="auto"/>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lastRenderedPageBreak/>
        <w:t>本细则适用于2</w:t>
      </w:r>
      <w:r>
        <w:rPr>
          <w:rFonts w:ascii="仿宋_GB2312" w:eastAsia="仿宋_GB2312" w:hAnsi="仿宋_GB2312"/>
          <w:color w:val="000000"/>
          <w:sz w:val="32"/>
        </w:rPr>
        <w:t>022-2023</w:t>
      </w:r>
      <w:r>
        <w:rPr>
          <w:rFonts w:ascii="仿宋_GB2312" w:eastAsia="仿宋_GB2312" w:hAnsi="仿宋_GB2312" w:hint="eastAsia"/>
          <w:color w:val="000000"/>
          <w:sz w:val="32"/>
        </w:rPr>
        <w:t>学年入学的新生院本科生，由新生院组织实施并负责解释，自公布之日起执行</w:t>
      </w:r>
      <w:r>
        <w:rPr>
          <w:rFonts w:ascii="仿宋_GB2312" w:eastAsia="仿宋_GB2312" w:hAnsi="仿宋_GB2312"/>
          <w:color w:val="000000"/>
          <w:sz w:val="32"/>
        </w:rPr>
        <w:t>。</w:t>
      </w:r>
    </w:p>
    <w:p w14:paraId="7CA351A7" w14:textId="77777777" w:rsidR="00EA4907" w:rsidRDefault="00EA4907" w:rsidP="00EA4907">
      <w:pPr>
        <w:widowControl/>
        <w:snapToGrid w:val="0"/>
        <w:spacing w:line="360" w:lineRule="auto"/>
        <w:ind w:firstLineChars="200" w:firstLine="640"/>
        <w:rPr>
          <w:rFonts w:ascii="仿宋_GB2312" w:eastAsia="仿宋_GB2312" w:hAnsi="仿宋_GB2312"/>
          <w:color w:val="000000"/>
          <w:sz w:val="32"/>
        </w:rPr>
      </w:pPr>
    </w:p>
    <w:p w14:paraId="20807A51" w14:textId="77777777" w:rsidR="00EA4907" w:rsidRDefault="00EA4907" w:rsidP="00EA4907">
      <w:pPr>
        <w:widowControl/>
        <w:snapToGrid w:val="0"/>
        <w:spacing w:line="360" w:lineRule="auto"/>
        <w:ind w:firstLineChars="200" w:firstLine="640"/>
        <w:jc w:val="right"/>
        <w:rPr>
          <w:rFonts w:ascii="仿宋_GB2312" w:eastAsia="仿宋_GB2312" w:hAnsi="仿宋_GB2312"/>
          <w:color w:val="000000"/>
          <w:sz w:val="32"/>
        </w:rPr>
      </w:pPr>
    </w:p>
    <w:p w14:paraId="7BE138A2" w14:textId="77777777" w:rsidR="00EA4907" w:rsidRDefault="00EA4907" w:rsidP="00EA4907">
      <w:pPr>
        <w:widowControl/>
        <w:snapToGrid w:val="0"/>
        <w:spacing w:line="360" w:lineRule="auto"/>
        <w:ind w:firstLineChars="200" w:firstLine="640"/>
        <w:jc w:val="right"/>
        <w:rPr>
          <w:rFonts w:ascii="仿宋_GB2312" w:eastAsia="仿宋_GB2312" w:hAnsi="仿宋_GB2312"/>
          <w:color w:val="000000"/>
          <w:sz w:val="32"/>
        </w:rPr>
      </w:pPr>
    </w:p>
    <w:p w14:paraId="0A469C6F" w14:textId="77777777" w:rsidR="00EA4907" w:rsidRDefault="00EA4907" w:rsidP="00EA4907">
      <w:pPr>
        <w:widowControl/>
        <w:snapToGrid w:val="0"/>
        <w:spacing w:line="360" w:lineRule="auto"/>
        <w:ind w:firstLineChars="200" w:firstLine="640"/>
        <w:jc w:val="right"/>
        <w:rPr>
          <w:rFonts w:ascii="仿宋_GB2312" w:eastAsia="仿宋_GB2312" w:hAnsi="仿宋_GB2312"/>
          <w:color w:val="000000"/>
          <w:sz w:val="32"/>
        </w:rPr>
      </w:pPr>
    </w:p>
    <w:p w14:paraId="51EC1249" w14:textId="77777777" w:rsidR="00EA4907" w:rsidRDefault="00EA4907" w:rsidP="00EA4907">
      <w:pPr>
        <w:widowControl/>
        <w:snapToGrid w:val="0"/>
        <w:spacing w:line="360" w:lineRule="auto"/>
        <w:ind w:firstLineChars="200" w:firstLine="640"/>
        <w:jc w:val="right"/>
        <w:rPr>
          <w:rFonts w:ascii="仿宋_GB2312" w:eastAsia="仿宋_GB2312" w:hAnsi="仿宋_GB2312"/>
          <w:color w:val="000000"/>
          <w:sz w:val="32"/>
        </w:rPr>
      </w:pPr>
      <w:r>
        <w:rPr>
          <w:rFonts w:ascii="仿宋_GB2312" w:eastAsia="仿宋_GB2312" w:hAnsi="仿宋_GB2312" w:hint="eastAsia"/>
          <w:color w:val="000000"/>
          <w:sz w:val="32"/>
        </w:rPr>
        <w:t>同济大学新生院</w:t>
      </w:r>
    </w:p>
    <w:p w14:paraId="0F65E06C" w14:textId="77777777" w:rsidR="001718DD" w:rsidRDefault="001718DD" w:rsidP="00EA4907">
      <w:pPr>
        <w:rPr>
          <w:rFonts w:hint="eastAsia"/>
        </w:rPr>
      </w:pPr>
    </w:p>
    <w:sectPr w:rsidR="001718D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126CC" w14:textId="77777777" w:rsidR="0063021E" w:rsidRDefault="0063021E" w:rsidP="00EA4907">
      <w:pPr>
        <w:ind w:firstLine="600"/>
      </w:pPr>
      <w:r>
        <w:separator/>
      </w:r>
    </w:p>
  </w:endnote>
  <w:endnote w:type="continuationSeparator" w:id="0">
    <w:p w14:paraId="0E3441F4" w14:textId="77777777" w:rsidR="0063021E" w:rsidRDefault="0063021E" w:rsidP="00EA4907">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A6B75" w14:textId="77777777" w:rsidR="00EA4907" w:rsidRDefault="00EA4907">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6E94D" w14:textId="77777777" w:rsidR="00EA4907" w:rsidRDefault="00EA4907">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006D1" w14:textId="77777777" w:rsidR="00EA4907" w:rsidRDefault="00EA4907">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4393C" w14:textId="77777777" w:rsidR="0063021E" w:rsidRDefault="0063021E" w:rsidP="00EA4907">
      <w:pPr>
        <w:ind w:firstLine="600"/>
      </w:pPr>
      <w:r>
        <w:separator/>
      </w:r>
    </w:p>
  </w:footnote>
  <w:footnote w:type="continuationSeparator" w:id="0">
    <w:p w14:paraId="3E161B41" w14:textId="77777777" w:rsidR="0063021E" w:rsidRDefault="0063021E" w:rsidP="00EA4907">
      <w:pPr>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C27A1" w14:textId="77777777" w:rsidR="00EA4907" w:rsidRDefault="00EA4907">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6439" w14:textId="77777777" w:rsidR="00EA4907" w:rsidRDefault="00EA4907">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FF3EE" w14:textId="77777777" w:rsidR="00EA4907" w:rsidRDefault="00EA4907">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C57"/>
    <w:rsid w:val="001718DD"/>
    <w:rsid w:val="003279AD"/>
    <w:rsid w:val="003A70D9"/>
    <w:rsid w:val="003B6F79"/>
    <w:rsid w:val="005E2C57"/>
    <w:rsid w:val="0063021E"/>
    <w:rsid w:val="00DA44BD"/>
    <w:rsid w:val="00EA4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263CF"/>
  <w15:chartTrackingRefBased/>
  <w15:docId w15:val="{0EFB5DC4-328A-4B74-8B0A-63332336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4907"/>
    <w:pPr>
      <w:widowControl w:val="0"/>
      <w:jc w:val="both"/>
    </w:pPr>
  </w:style>
  <w:style w:type="paragraph" w:styleId="1">
    <w:name w:val="heading 1"/>
    <w:basedOn w:val="a"/>
    <w:next w:val="a"/>
    <w:link w:val="10"/>
    <w:autoRedefine/>
    <w:qFormat/>
    <w:rsid w:val="003279AD"/>
    <w:pPr>
      <w:spacing w:before="100" w:beforeAutospacing="1" w:after="100" w:afterAutospacing="1" w:line="575" w:lineRule="exact"/>
      <w:jc w:val="center"/>
      <w:outlineLvl w:val="0"/>
    </w:pPr>
    <w:rPr>
      <w:rFonts w:ascii="方正小标宋简体" w:eastAsia="方正小标宋简体" w:hAnsi="方正小标宋简体" w:cs="方正小标宋简体"/>
      <w:b/>
      <w:bCs/>
      <w:kern w:val="44"/>
      <w:sz w:val="36"/>
      <w:szCs w:val="36"/>
    </w:rPr>
  </w:style>
  <w:style w:type="paragraph" w:styleId="2">
    <w:name w:val="heading 2"/>
    <w:basedOn w:val="a"/>
    <w:next w:val="a"/>
    <w:link w:val="20"/>
    <w:uiPriority w:val="9"/>
    <w:unhideWhenUsed/>
    <w:qFormat/>
    <w:rsid w:val="00DA44BD"/>
    <w:pPr>
      <w:keepNext/>
      <w:keepLines/>
      <w:spacing w:line="579" w:lineRule="exact"/>
      <w:ind w:firstLineChars="200" w:firstLine="200"/>
      <w:contextualSpacing/>
      <w:outlineLvl w:val="1"/>
    </w:pPr>
    <w:rPr>
      <w:rFonts w:ascii="楷体_GB2312" w:eastAsia="楷体_GB2312" w:hAnsi="楷体_GB2312" w:cs="楷体_GB2312"/>
      <w:b/>
      <w:bCs/>
      <w:sz w:val="30"/>
      <w:szCs w:val="32"/>
    </w:rPr>
  </w:style>
  <w:style w:type="paragraph" w:styleId="3">
    <w:name w:val="heading 3"/>
    <w:basedOn w:val="a"/>
    <w:next w:val="a"/>
    <w:link w:val="30"/>
    <w:uiPriority w:val="9"/>
    <w:semiHidden/>
    <w:unhideWhenUsed/>
    <w:qFormat/>
    <w:rsid w:val="003B6F79"/>
    <w:pPr>
      <w:keepNext/>
      <w:keepLines/>
      <w:spacing w:line="579" w:lineRule="exact"/>
      <w:ind w:firstLineChars="200" w:firstLine="200"/>
      <w:contextualSpacing/>
      <w:outlineLvl w:val="2"/>
    </w:pPr>
    <w:rPr>
      <w:rFonts w:ascii="楷体" w:eastAsia="楷体" w:hAnsi="楷体" w:cs="楷体"/>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3279AD"/>
    <w:rPr>
      <w:rFonts w:ascii="方正小标宋简体" w:eastAsia="方正小标宋简体" w:hAnsi="方正小标宋简体" w:cs="方正小标宋简体"/>
      <w:b/>
      <w:bCs/>
      <w:kern w:val="44"/>
      <w:sz w:val="36"/>
      <w:szCs w:val="36"/>
    </w:rPr>
  </w:style>
  <w:style w:type="character" w:customStyle="1" w:styleId="20">
    <w:name w:val="标题 2 字符"/>
    <w:basedOn w:val="a0"/>
    <w:link w:val="2"/>
    <w:uiPriority w:val="9"/>
    <w:rsid w:val="00DA44BD"/>
    <w:rPr>
      <w:rFonts w:ascii="楷体_GB2312" w:eastAsia="楷体_GB2312" w:hAnsi="楷体_GB2312" w:cs="楷体_GB2312"/>
      <w:b/>
      <w:bCs/>
      <w:sz w:val="32"/>
      <w:szCs w:val="32"/>
    </w:rPr>
  </w:style>
  <w:style w:type="character" w:customStyle="1" w:styleId="30">
    <w:name w:val="标题 3 字符"/>
    <w:basedOn w:val="a0"/>
    <w:link w:val="3"/>
    <w:uiPriority w:val="9"/>
    <w:semiHidden/>
    <w:rsid w:val="003B6F79"/>
    <w:rPr>
      <w:rFonts w:ascii="楷体" w:eastAsia="楷体" w:hAnsi="楷体" w:cs="楷体"/>
      <w:sz w:val="32"/>
      <w:szCs w:val="32"/>
    </w:rPr>
  </w:style>
  <w:style w:type="paragraph" w:styleId="a3">
    <w:name w:val="header"/>
    <w:basedOn w:val="a"/>
    <w:link w:val="a4"/>
    <w:uiPriority w:val="99"/>
    <w:unhideWhenUsed/>
    <w:rsid w:val="00EA4907"/>
    <w:pPr>
      <w:pBdr>
        <w:bottom w:val="single" w:sz="6" w:space="1" w:color="auto"/>
      </w:pBdr>
      <w:tabs>
        <w:tab w:val="center" w:pos="4153"/>
        <w:tab w:val="right" w:pos="8306"/>
      </w:tabs>
      <w:snapToGrid w:val="0"/>
      <w:spacing w:line="240" w:lineRule="atLeast"/>
      <w:ind w:firstLineChars="200" w:firstLine="200"/>
      <w:contextualSpacing/>
      <w:jc w:val="center"/>
    </w:pPr>
    <w:rPr>
      <w:rFonts w:ascii="仿宋_GB2312" w:eastAsia="仿宋_GB2312" w:hAnsi="仿宋_GB2312" w:cs="仿宋_GB2312"/>
      <w:sz w:val="18"/>
      <w:szCs w:val="18"/>
    </w:rPr>
  </w:style>
  <w:style w:type="character" w:customStyle="1" w:styleId="a4">
    <w:name w:val="页眉 字符"/>
    <w:basedOn w:val="a0"/>
    <w:link w:val="a3"/>
    <w:uiPriority w:val="99"/>
    <w:rsid w:val="00EA4907"/>
    <w:rPr>
      <w:rFonts w:ascii="仿宋_GB2312" w:eastAsia="仿宋_GB2312" w:hAnsi="仿宋_GB2312" w:cs="仿宋_GB2312"/>
      <w:sz w:val="18"/>
      <w:szCs w:val="18"/>
    </w:rPr>
  </w:style>
  <w:style w:type="paragraph" w:styleId="a5">
    <w:name w:val="footer"/>
    <w:basedOn w:val="a"/>
    <w:link w:val="a6"/>
    <w:uiPriority w:val="99"/>
    <w:unhideWhenUsed/>
    <w:rsid w:val="00EA4907"/>
    <w:pPr>
      <w:tabs>
        <w:tab w:val="center" w:pos="4153"/>
        <w:tab w:val="right" w:pos="8306"/>
      </w:tabs>
      <w:snapToGrid w:val="0"/>
      <w:spacing w:line="240" w:lineRule="atLeast"/>
      <w:ind w:firstLineChars="200" w:firstLine="200"/>
      <w:contextualSpacing/>
      <w:jc w:val="left"/>
    </w:pPr>
    <w:rPr>
      <w:rFonts w:ascii="仿宋_GB2312" w:eastAsia="仿宋_GB2312" w:hAnsi="仿宋_GB2312" w:cs="仿宋_GB2312"/>
      <w:sz w:val="18"/>
      <w:szCs w:val="18"/>
    </w:rPr>
  </w:style>
  <w:style w:type="character" w:customStyle="1" w:styleId="a6">
    <w:name w:val="页脚 字符"/>
    <w:basedOn w:val="a0"/>
    <w:link w:val="a5"/>
    <w:uiPriority w:val="99"/>
    <w:rsid w:val="00EA4907"/>
    <w:rPr>
      <w:rFonts w:ascii="仿宋_GB2312" w:eastAsia="仿宋_GB2312" w:hAnsi="仿宋_GB2312" w:cs="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梓铭 任</dc:creator>
  <cp:keywords/>
  <dc:description/>
  <cp:lastModifiedBy>梓铭 任</cp:lastModifiedBy>
  <cp:revision>2</cp:revision>
  <dcterms:created xsi:type="dcterms:W3CDTF">2023-04-10T06:06:00Z</dcterms:created>
  <dcterms:modified xsi:type="dcterms:W3CDTF">2023-04-10T06:09:00Z</dcterms:modified>
</cp:coreProperties>
</file>