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3A863" w14:textId="77777777" w:rsidR="00A74B1D" w:rsidRDefault="00A74B1D" w:rsidP="00A74B1D">
      <w:pPr>
        <w:widowControl/>
        <w:snapToGrid w:val="0"/>
        <w:spacing w:line="360" w:lineRule="auto"/>
        <w:jc w:val="left"/>
        <w:rPr>
          <w:rFonts w:ascii="方正小标宋简体" w:eastAsia="方正小标宋简体" w:hAnsi="方正小标宋简体" w:cs="方正小标宋简体"/>
          <w:b/>
          <w:bCs/>
          <w:spacing w:val="-1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pacing w:val="-10"/>
          <w:sz w:val="40"/>
          <w:szCs w:val="40"/>
        </w:rPr>
        <w:t>附件1</w:t>
      </w:r>
    </w:p>
    <w:p w14:paraId="35EFBEFF" w14:textId="77777777" w:rsidR="00A74B1D" w:rsidRDefault="00A74B1D" w:rsidP="00A74B1D">
      <w:pPr>
        <w:widowControl/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b/>
          <w:bCs/>
          <w:spacing w:val="-1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pacing w:val="-10"/>
          <w:sz w:val="40"/>
          <w:szCs w:val="40"/>
        </w:rPr>
        <w:t>同济大学新生院奖学金综合成绩计算方法</w:t>
      </w:r>
    </w:p>
    <w:p w14:paraId="497F1F18" w14:textId="6F2AECCC" w:rsidR="00A74B1D" w:rsidRDefault="00A74B1D" w:rsidP="00A74B1D">
      <w:pPr>
        <w:widowControl/>
        <w:snapToGrid w:val="0"/>
        <w:spacing w:line="360" w:lineRule="auto"/>
        <w:ind w:firstLineChars="200" w:firstLine="640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综合成绩满分为1</w:t>
      </w:r>
      <w:r>
        <w:rPr>
          <w:rFonts w:ascii="仿宋_GB2312" w:eastAsia="仿宋_GB2312" w:hAnsi="仿宋_GB2312"/>
          <w:color w:val="000000"/>
          <w:sz w:val="32"/>
        </w:rPr>
        <w:t>10</w:t>
      </w:r>
      <w:r>
        <w:rPr>
          <w:rFonts w:ascii="仿宋_GB2312" w:eastAsia="仿宋_GB2312" w:hAnsi="仿宋_GB2312" w:hint="eastAsia"/>
          <w:color w:val="000000"/>
          <w:sz w:val="32"/>
        </w:rPr>
        <w:t>分，其中学习成绩占1</w:t>
      </w:r>
      <w:r>
        <w:rPr>
          <w:rFonts w:ascii="仿宋_GB2312" w:eastAsia="仿宋_GB2312" w:hAnsi="仿宋_GB2312"/>
          <w:color w:val="000000"/>
          <w:sz w:val="32"/>
        </w:rPr>
        <w:t>00</w:t>
      </w:r>
      <w:r>
        <w:rPr>
          <w:rFonts w:ascii="仿宋_GB2312" w:eastAsia="仿宋_GB2312" w:hAnsi="仿宋_GB2312" w:hint="eastAsia"/>
          <w:color w:val="000000"/>
          <w:sz w:val="32"/>
        </w:rPr>
        <w:t>分，第二课堂成绩占1</w:t>
      </w:r>
      <w:r>
        <w:rPr>
          <w:rFonts w:ascii="仿宋_GB2312" w:eastAsia="仿宋_GB2312" w:hAnsi="仿宋_GB2312"/>
          <w:color w:val="000000"/>
          <w:sz w:val="32"/>
        </w:rPr>
        <w:t>0</w:t>
      </w:r>
      <w:r>
        <w:rPr>
          <w:rFonts w:ascii="仿宋_GB2312" w:eastAsia="仿宋_GB2312" w:hAnsi="仿宋_GB2312" w:hint="eastAsia"/>
          <w:color w:val="000000"/>
          <w:sz w:val="32"/>
        </w:rPr>
        <w:t>分。</w:t>
      </w:r>
    </w:p>
    <w:p w14:paraId="2CD8A91F" w14:textId="7E2380A0" w:rsidR="00A74B1D" w:rsidRPr="00A74B1D" w:rsidRDefault="00A74B1D" w:rsidP="00A74B1D">
      <w:pPr>
        <w:widowControl/>
        <w:snapToGrid w:val="0"/>
        <w:spacing w:line="360" w:lineRule="auto"/>
        <w:ind w:firstLineChars="200" w:firstLine="640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一、</w:t>
      </w:r>
      <w:r w:rsidRPr="00A74B1D">
        <w:rPr>
          <w:rFonts w:ascii="仿宋_GB2312" w:eastAsia="仿宋_GB2312" w:hAnsi="仿宋_GB2312" w:hint="eastAsia"/>
          <w:color w:val="000000"/>
          <w:sz w:val="32"/>
        </w:rPr>
        <w:t>学习成绩的计算</w:t>
      </w:r>
    </w:p>
    <w:p w14:paraId="0EDCD618" w14:textId="77777777" w:rsidR="00A74B1D" w:rsidRDefault="00A74B1D" w:rsidP="00A74B1D">
      <w:pPr>
        <w:widowControl/>
        <w:snapToGrid w:val="0"/>
        <w:spacing w:line="360" w:lineRule="auto"/>
        <w:ind w:firstLineChars="200" w:firstLine="640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学习成绩得分</w:t>
      </w:r>
      <w:r>
        <w:rPr>
          <w:rFonts w:ascii="仿宋_GB2312" w:eastAsia="仿宋_GB2312" w:hAnsi="仿宋_GB2312"/>
          <w:color w:val="000000"/>
          <w:sz w:val="32"/>
        </w:rPr>
        <w:t>=参评学年个人</w:t>
      </w:r>
      <w:proofErr w:type="gramStart"/>
      <w:r>
        <w:rPr>
          <w:rFonts w:ascii="仿宋_GB2312" w:eastAsia="仿宋_GB2312" w:hAnsi="仿宋_GB2312"/>
          <w:color w:val="000000"/>
          <w:sz w:val="32"/>
        </w:rPr>
        <w:t>平均绩点</w:t>
      </w:r>
      <w:proofErr w:type="gramEnd"/>
      <w:r>
        <w:rPr>
          <w:rFonts w:ascii="仿宋_GB2312" w:eastAsia="仿宋_GB2312" w:hAnsi="仿宋_GB2312" w:hint="eastAsia"/>
          <w:color w:val="000000"/>
          <w:sz w:val="32"/>
        </w:rPr>
        <w:t>×</w:t>
      </w:r>
      <w:r>
        <w:rPr>
          <w:rFonts w:ascii="仿宋_GB2312" w:eastAsia="仿宋_GB2312" w:hAnsi="仿宋_GB2312"/>
          <w:color w:val="000000"/>
          <w:sz w:val="32"/>
        </w:rPr>
        <w:t>20</w:t>
      </w:r>
      <w:r>
        <w:rPr>
          <w:rFonts w:ascii="仿宋_GB2312" w:eastAsia="仿宋_GB2312" w:hAnsi="仿宋_GB2312" w:hint="eastAsia"/>
          <w:color w:val="000000"/>
          <w:sz w:val="32"/>
        </w:rPr>
        <w:t>。</w:t>
      </w:r>
    </w:p>
    <w:p w14:paraId="490E034D" w14:textId="77777777" w:rsidR="00A74B1D" w:rsidRDefault="00A74B1D" w:rsidP="00A74B1D">
      <w:pPr>
        <w:widowControl/>
        <w:snapToGrid w:val="0"/>
        <w:spacing w:line="360" w:lineRule="auto"/>
        <w:ind w:firstLineChars="200" w:firstLine="640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注：学生个人</w:t>
      </w:r>
      <w:proofErr w:type="gramStart"/>
      <w:r>
        <w:rPr>
          <w:rFonts w:ascii="仿宋_GB2312" w:eastAsia="仿宋_GB2312" w:hAnsi="仿宋_GB2312" w:hint="eastAsia"/>
          <w:color w:val="000000"/>
          <w:sz w:val="32"/>
        </w:rPr>
        <w:t>平均绩点的</w:t>
      </w:r>
      <w:proofErr w:type="gramEnd"/>
      <w:r>
        <w:rPr>
          <w:rFonts w:ascii="仿宋_GB2312" w:eastAsia="仿宋_GB2312" w:hAnsi="仿宋_GB2312" w:hint="eastAsia"/>
          <w:color w:val="000000"/>
          <w:sz w:val="32"/>
        </w:rPr>
        <w:t>计算方法以《同济大学本科生学籍管理规定》为准。</w:t>
      </w:r>
    </w:p>
    <w:p w14:paraId="39A17DBC" w14:textId="11164D8C" w:rsidR="00A74B1D" w:rsidRPr="00A74B1D" w:rsidRDefault="00A74B1D" w:rsidP="00A74B1D">
      <w:pPr>
        <w:widowControl/>
        <w:snapToGrid w:val="0"/>
        <w:spacing w:line="360" w:lineRule="auto"/>
        <w:ind w:firstLineChars="200" w:firstLine="640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二、</w:t>
      </w:r>
      <w:r w:rsidRPr="00A74B1D">
        <w:rPr>
          <w:rFonts w:ascii="仿宋_GB2312" w:eastAsia="仿宋_GB2312" w:hAnsi="仿宋_GB2312" w:hint="eastAsia"/>
          <w:color w:val="000000"/>
          <w:sz w:val="32"/>
        </w:rPr>
        <w:t>第二课堂成绩的计算</w:t>
      </w:r>
    </w:p>
    <w:p w14:paraId="03616A32" w14:textId="77777777" w:rsidR="00A74B1D" w:rsidRDefault="00A74B1D" w:rsidP="00A74B1D">
      <w:pPr>
        <w:widowControl/>
        <w:snapToGrid w:val="0"/>
        <w:spacing w:line="360" w:lineRule="auto"/>
        <w:ind w:firstLineChars="200" w:firstLine="640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第二课堂成绩由基础分和附加分组成。其中基础分满分8分，新生院“五育”学生培养及评价方案总分超过</w:t>
      </w:r>
      <w:r>
        <w:rPr>
          <w:rFonts w:ascii="仿宋_GB2312" w:eastAsia="仿宋_GB2312" w:hAnsi="仿宋_GB2312"/>
          <w:color w:val="000000"/>
          <w:sz w:val="32"/>
        </w:rPr>
        <w:t>80分</w:t>
      </w:r>
      <w:r>
        <w:rPr>
          <w:rFonts w:ascii="仿宋_GB2312" w:eastAsia="仿宋_GB2312" w:hAnsi="仿宋_GB2312" w:hint="eastAsia"/>
          <w:color w:val="000000"/>
          <w:sz w:val="32"/>
        </w:rPr>
        <w:t>（含8</w:t>
      </w:r>
      <w:r>
        <w:rPr>
          <w:rFonts w:ascii="仿宋_GB2312" w:eastAsia="仿宋_GB2312" w:hAnsi="仿宋_GB2312"/>
          <w:color w:val="000000"/>
          <w:sz w:val="32"/>
        </w:rPr>
        <w:t>0</w:t>
      </w:r>
      <w:r>
        <w:rPr>
          <w:rFonts w:ascii="仿宋_GB2312" w:eastAsia="仿宋_GB2312" w:hAnsi="仿宋_GB2312" w:hint="eastAsia"/>
          <w:color w:val="000000"/>
          <w:sz w:val="32"/>
        </w:rPr>
        <w:t>分），即可获得基础分</w:t>
      </w:r>
      <w:r>
        <w:rPr>
          <w:rFonts w:ascii="仿宋_GB2312" w:eastAsia="仿宋_GB2312" w:hAnsi="仿宋_GB2312"/>
          <w:color w:val="000000"/>
          <w:sz w:val="32"/>
        </w:rPr>
        <w:t>8</w:t>
      </w:r>
      <w:r>
        <w:rPr>
          <w:rFonts w:ascii="仿宋_GB2312" w:eastAsia="仿宋_GB2312" w:hAnsi="仿宋_GB2312" w:hint="eastAsia"/>
          <w:color w:val="000000"/>
          <w:sz w:val="32"/>
        </w:rPr>
        <w:t>分。</w:t>
      </w:r>
    </w:p>
    <w:p w14:paraId="4B33ABEC" w14:textId="77777777" w:rsidR="00A74B1D" w:rsidRDefault="00A74B1D" w:rsidP="00A74B1D">
      <w:pPr>
        <w:widowControl/>
        <w:snapToGrid w:val="0"/>
        <w:spacing w:line="360" w:lineRule="auto"/>
        <w:ind w:firstLineChars="200" w:firstLine="640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附加分满分2分，涵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盖大学生德智体美劳全面发展相关的第二课堂奖项，包括但不限于思想政治类、科技创新类、学科竞赛类、体育竞赛类、文艺比赛类、社会实践类等获奖，具体加分规则如下：</w:t>
      </w:r>
    </w:p>
    <w:p w14:paraId="18575993" w14:textId="77777777" w:rsidR="00A74B1D" w:rsidRDefault="00A74B1D" w:rsidP="00A74B1D">
      <w:pPr>
        <w:widowControl/>
        <w:snapToGrid w:val="0"/>
        <w:spacing w:line="360" w:lineRule="auto"/>
        <w:ind w:firstLineChars="200" w:firstLine="640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/>
          <w:color w:val="000000"/>
          <w:sz w:val="32"/>
        </w:rPr>
        <w:t>1.凡</w:t>
      </w:r>
      <w:r>
        <w:rPr>
          <w:rFonts w:ascii="仿宋_GB2312" w:eastAsia="仿宋_GB2312" w:hAnsi="仿宋_GB2312" w:hint="eastAsia"/>
          <w:color w:val="000000"/>
          <w:sz w:val="32"/>
        </w:rPr>
        <w:t>个人</w:t>
      </w:r>
      <w:r>
        <w:rPr>
          <w:rFonts w:ascii="仿宋_GB2312" w:eastAsia="仿宋_GB2312" w:hAnsi="仿宋_GB2312"/>
          <w:color w:val="000000"/>
          <w:sz w:val="32"/>
        </w:rPr>
        <w:t>获得</w:t>
      </w:r>
      <w:r>
        <w:rPr>
          <w:rFonts w:ascii="仿宋_GB2312" w:eastAsia="仿宋_GB2312" w:hAnsi="仿宋_GB2312" w:hint="eastAsia"/>
          <w:color w:val="000000"/>
          <w:sz w:val="32"/>
        </w:rPr>
        <w:t>省部级及以上</w:t>
      </w:r>
      <w:r>
        <w:rPr>
          <w:rFonts w:ascii="仿宋_GB2312" w:eastAsia="仿宋_GB2312" w:hAnsi="仿宋_GB2312"/>
          <w:color w:val="000000"/>
          <w:sz w:val="32"/>
        </w:rPr>
        <w:t>奖项，一等奖计</w:t>
      </w:r>
      <w:r>
        <w:rPr>
          <w:rFonts w:ascii="仿宋_GB2312" w:eastAsia="仿宋_GB2312" w:hAnsi="仿宋_GB2312" w:hint="eastAsia"/>
          <w:color w:val="000000"/>
          <w:sz w:val="32"/>
        </w:rPr>
        <w:t>1.</w:t>
      </w:r>
      <w:r>
        <w:rPr>
          <w:rFonts w:ascii="仿宋_GB2312" w:eastAsia="仿宋_GB2312" w:hAnsi="仿宋_GB2312"/>
          <w:color w:val="000000"/>
          <w:sz w:val="32"/>
        </w:rPr>
        <w:t>5分，二等奖计</w:t>
      </w:r>
      <w:r>
        <w:rPr>
          <w:rFonts w:ascii="仿宋_GB2312" w:eastAsia="仿宋_GB2312" w:hAnsi="仿宋_GB2312" w:hint="eastAsia"/>
          <w:color w:val="000000"/>
          <w:sz w:val="32"/>
        </w:rPr>
        <w:t>1.1</w:t>
      </w:r>
      <w:r>
        <w:rPr>
          <w:rFonts w:ascii="仿宋_GB2312" w:eastAsia="仿宋_GB2312" w:hAnsi="仿宋_GB2312"/>
          <w:color w:val="000000"/>
          <w:sz w:val="32"/>
        </w:rPr>
        <w:t>分，三等奖计</w:t>
      </w:r>
      <w:r>
        <w:rPr>
          <w:rFonts w:ascii="仿宋_GB2312" w:eastAsia="仿宋_GB2312" w:hAnsi="仿宋_GB2312" w:hint="eastAsia"/>
          <w:color w:val="000000"/>
          <w:sz w:val="32"/>
        </w:rPr>
        <w:t>0.</w:t>
      </w:r>
      <w:r>
        <w:rPr>
          <w:rFonts w:ascii="仿宋_GB2312" w:eastAsia="仿宋_GB2312" w:hAnsi="仿宋_GB2312"/>
          <w:color w:val="000000"/>
          <w:sz w:val="32"/>
        </w:rPr>
        <w:t>6分；</w:t>
      </w:r>
    </w:p>
    <w:p w14:paraId="6A1411E6" w14:textId="77777777" w:rsidR="00A74B1D" w:rsidRDefault="00A74B1D" w:rsidP="00A74B1D">
      <w:pPr>
        <w:widowControl/>
        <w:snapToGrid w:val="0"/>
        <w:spacing w:line="360" w:lineRule="auto"/>
        <w:ind w:firstLineChars="200" w:firstLine="640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/>
          <w:color w:val="000000"/>
          <w:sz w:val="32"/>
        </w:rPr>
        <w:t>2.凡</w:t>
      </w:r>
      <w:r>
        <w:rPr>
          <w:rFonts w:ascii="仿宋_GB2312" w:eastAsia="仿宋_GB2312" w:hAnsi="仿宋_GB2312" w:hint="eastAsia"/>
          <w:color w:val="000000"/>
          <w:sz w:val="32"/>
        </w:rPr>
        <w:t>个人</w:t>
      </w:r>
      <w:r>
        <w:rPr>
          <w:rFonts w:ascii="仿宋_GB2312" w:eastAsia="仿宋_GB2312" w:hAnsi="仿宋_GB2312"/>
          <w:color w:val="000000"/>
          <w:sz w:val="32"/>
        </w:rPr>
        <w:t>获得校级奖项一等奖计</w:t>
      </w:r>
      <w:r>
        <w:rPr>
          <w:rFonts w:ascii="仿宋_GB2312" w:eastAsia="仿宋_GB2312" w:hAnsi="仿宋_GB2312" w:hint="eastAsia"/>
          <w:color w:val="000000"/>
          <w:sz w:val="32"/>
        </w:rPr>
        <w:t>0.</w:t>
      </w:r>
      <w:r>
        <w:rPr>
          <w:rFonts w:ascii="仿宋_GB2312" w:eastAsia="仿宋_GB2312" w:hAnsi="仿宋_GB2312"/>
          <w:color w:val="000000"/>
          <w:sz w:val="32"/>
        </w:rPr>
        <w:t>5分，二等奖计0.3分，三等奖计</w:t>
      </w:r>
      <w:r>
        <w:rPr>
          <w:rFonts w:ascii="仿宋_GB2312" w:eastAsia="仿宋_GB2312" w:hAnsi="仿宋_GB2312" w:hint="eastAsia"/>
          <w:color w:val="000000"/>
          <w:sz w:val="32"/>
        </w:rPr>
        <w:t>0.1</w:t>
      </w:r>
      <w:r>
        <w:rPr>
          <w:rFonts w:ascii="仿宋_GB2312" w:eastAsia="仿宋_GB2312" w:hAnsi="仿宋_GB2312"/>
          <w:color w:val="000000"/>
          <w:sz w:val="32"/>
        </w:rPr>
        <w:t>分；</w:t>
      </w:r>
    </w:p>
    <w:p w14:paraId="1EFF98EC" w14:textId="77777777" w:rsidR="00A74B1D" w:rsidRDefault="00A74B1D" w:rsidP="00A74B1D">
      <w:pPr>
        <w:widowControl/>
        <w:snapToGrid w:val="0"/>
        <w:spacing w:line="360" w:lineRule="auto"/>
        <w:ind w:firstLineChars="200" w:firstLine="640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/>
          <w:color w:val="000000"/>
          <w:sz w:val="32"/>
        </w:rPr>
        <w:lastRenderedPageBreak/>
        <w:t>3.</w:t>
      </w:r>
      <w:r>
        <w:rPr>
          <w:rFonts w:hint="eastAsia"/>
        </w:rPr>
        <w:t xml:space="preserve"> </w:t>
      </w:r>
      <w:r>
        <w:rPr>
          <w:rFonts w:ascii="仿宋_GB2312" w:eastAsia="仿宋_GB2312" w:hAnsi="仿宋_GB2312" w:hint="eastAsia"/>
          <w:color w:val="000000"/>
          <w:sz w:val="32"/>
        </w:rPr>
        <w:t>团体获奖，每人分数</w:t>
      </w:r>
      <w:r>
        <w:rPr>
          <w:rFonts w:ascii="仿宋_GB2312" w:eastAsia="仿宋_GB2312" w:hAnsi="仿宋_GB2312"/>
          <w:color w:val="000000"/>
          <w:sz w:val="32"/>
        </w:rPr>
        <w:t>=对应个人奖项分数*</w:t>
      </w:r>
      <w:r>
        <w:rPr>
          <w:rFonts w:ascii="仿宋_GB2312" w:eastAsia="仿宋_GB2312" w:hAnsi="仿宋_GB2312" w:hint="eastAsia"/>
          <w:color w:val="000000"/>
          <w:sz w:val="32"/>
        </w:rPr>
        <w:t>加分系数</w:t>
      </w:r>
      <w:r>
        <w:rPr>
          <w:rFonts w:ascii="仿宋_GB2312" w:eastAsia="仿宋_GB2312" w:hAnsi="仿宋_GB2312"/>
          <w:color w:val="000000"/>
          <w:sz w:val="32"/>
        </w:rPr>
        <w:t>N/团体人数</w:t>
      </w:r>
      <w:r>
        <w:rPr>
          <w:rFonts w:ascii="仿宋_GB2312" w:eastAsia="仿宋_GB2312" w:hAnsi="仿宋_GB2312" w:hint="eastAsia"/>
          <w:color w:val="000000"/>
          <w:sz w:val="32"/>
        </w:rPr>
        <w:t>,不同完成人数目对应的加分系数如表1所示。</w:t>
      </w:r>
    </w:p>
    <w:p w14:paraId="4E9A4C95" w14:textId="77777777" w:rsidR="00A74B1D" w:rsidRDefault="00A74B1D" w:rsidP="00A74B1D">
      <w:pPr>
        <w:widowControl/>
        <w:snapToGrid w:val="0"/>
        <w:spacing w:line="360" w:lineRule="auto"/>
        <w:jc w:val="center"/>
        <w:rPr>
          <w:rFonts w:ascii="仿宋_GB2312" w:eastAsia="仿宋_GB2312" w:hAnsi="仿宋_GB2312"/>
          <w:color w:val="000000"/>
          <w:sz w:val="28"/>
        </w:rPr>
      </w:pPr>
      <w:r>
        <w:rPr>
          <w:rFonts w:ascii="仿宋_GB2312" w:eastAsia="仿宋_GB2312" w:hAnsi="仿宋_GB2312" w:hint="eastAsia"/>
          <w:color w:val="000000"/>
          <w:sz w:val="28"/>
        </w:rPr>
        <w:t>表1</w:t>
      </w:r>
      <w:r>
        <w:rPr>
          <w:rFonts w:ascii="仿宋_GB2312" w:eastAsia="仿宋_GB2312" w:hAnsi="仿宋_GB2312"/>
          <w:color w:val="000000"/>
          <w:sz w:val="28"/>
        </w:rPr>
        <w:t xml:space="preserve"> </w:t>
      </w:r>
      <w:r>
        <w:rPr>
          <w:rFonts w:ascii="仿宋_GB2312" w:eastAsia="仿宋_GB2312" w:hAnsi="仿宋_GB2312" w:hint="eastAsia"/>
          <w:color w:val="000000"/>
          <w:sz w:val="28"/>
        </w:rPr>
        <w:t>不同完成人数目对应的加分系数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A74B1D" w14:paraId="22A326CA" w14:textId="77777777" w:rsidTr="00242372">
        <w:tc>
          <w:tcPr>
            <w:tcW w:w="2074" w:type="dxa"/>
          </w:tcPr>
          <w:p w14:paraId="1078C879" w14:textId="77777777" w:rsidR="00A74B1D" w:rsidRDefault="00A74B1D" w:rsidP="00A74B1D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参与总人数</w:t>
            </w:r>
          </w:p>
        </w:tc>
        <w:tc>
          <w:tcPr>
            <w:tcW w:w="2074" w:type="dxa"/>
          </w:tcPr>
          <w:p w14:paraId="04AF835B" w14:textId="77777777" w:rsidR="00A74B1D" w:rsidRDefault="00A74B1D" w:rsidP="00A74B1D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2-</w:t>
            </w:r>
            <w:r>
              <w:rPr>
                <w:rFonts w:ascii="仿宋_GB2312" w:eastAsia="仿宋_GB2312" w:hAnsi="仿宋_GB2312"/>
                <w:color w:val="000000"/>
                <w:sz w:val="28"/>
              </w:rPr>
              <w:t>5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人</w:t>
            </w:r>
          </w:p>
        </w:tc>
        <w:tc>
          <w:tcPr>
            <w:tcW w:w="2074" w:type="dxa"/>
          </w:tcPr>
          <w:p w14:paraId="5C4EF2C7" w14:textId="77777777" w:rsidR="00A74B1D" w:rsidRDefault="00A74B1D" w:rsidP="00A74B1D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6-</w:t>
            </w:r>
            <w:r>
              <w:rPr>
                <w:rFonts w:ascii="仿宋_GB2312" w:eastAsia="仿宋_GB2312" w:hAnsi="仿宋_GB2312"/>
                <w:color w:val="000000"/>
                <w:sz w:val="28"/>
              </w:rPr>
              <w:t>10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人</w:t>
            </w:r>
          </w:p>
        </w:tc>
        <w:tc>
          <w:tcPr>
            <w:tcW w:w="2074" w:type="dxa"/>
          </w:tcPr>
          <w:p w14:paraId="5BC4A963" w14:textId="77777777" w:rsidR="00A74B1D" w:rsidRDefault="00A74B1D" w:rsidP="00A74B1D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1</w:t>
            </w:r>
            <w:r>
              <w:rPr>
                <w:rFonts w:ascii="仿宋_GB2312" w:eastAsia="仿宋_GB2312" w:hAnsi="仿宋_GB2312"/>
                <w:color w:val="000000"/>
                <w:sz w:val="28"/>
              </w:rPr>
              <w:t>1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人及以上</w:t>
            </w:r>
          </w:p>
        </w:tc>
      </w:tr>
      <w:tr w:rsidR="00A74B1D" w14:paraId="03803944" w14:textId="77777777" w:rsidTr="00242372">
        <w:tc>
          <w:tcPr>
            <w:tcW w:w="2074" w:type="dxa"/>
          </w:tcPr>
          <w:p w14:paraId="6813D578" w14:textId="77777777" w:rsidR="00A74B1D" w:rsidRDefault="00A74B1D" w:rsidP="00A74B1D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加分系数N</w:t>
            </w:r>
          </w:p>
        </w:tc>
        <w:tc>
          <w:tcPr>
            <w:tcW w:w="2074" w:type="dxa"/>
          </w:tcPr>
          <w:p w14:paraId="5BF13E60" w14:textId="77777777" w:rsidR="00A74B1D" w:rsidRDefault="00A74B1D" w:rsidP="00A74B1D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2</w:t>
            </w:r>
          </w:p>
        </w:tc>
        <w:tc>
          <w:tcPr>
            <w:tcW w:w="2074" w:type="dxa"/>
          </w:tcPr>
          <w:p w14:paraId="50F2C449" w14:textId="77777777" w:rsidR="00A74B1D" w:rsidRDefault="00A74B1D" w:rsidP="00A74B1D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2.2</w:t>
            </w:r>
          </w:p>
        </w:tc>
        <w:tc>
          <w:tcPr>
            <w:tcW w:w="2074" w:type="dxa"/>
          </w:tcPr>
          <w:p w14:paraId="0C611571" w14:textId="77777777" w:rsidR="00A74B1D" w:rsidRDefault="00A74B1D" w:rsidP="00A74B1D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2.4</w:t>
            </w:r>
          </w:p>
        </w:tc>
      </w:tr>
    </w:tbl>
    <w:p w14:paraId="6921956E" w14:textId="77777777" w:rsidR="00A74B1D" w:rsidRDefault="00A74B1D" w:rsidP="00A74B1D">
      <w:pPr>
        <w:widowControl/>
        <w:snapToGrid w:val="0"/>
        <w:spacing w:beforeLines="50" w:before="156" w:line="360" w:lineRule="auto"/>
        <w:ind w:firstLineChars="200" w:firstLine="640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/>
          <w:color w:val="000000"/>
          <w:sz w:val="32"/>
        </w:rPr>
        <w:t>4</w:t>
      </w:r>
      <w:r>
        <w:rPr>
          <w:rFonts w:ascii="仿宋_GB2312" w:eastAsia="仿宋_GB2312" w:hAnsi="仿宋_GB2312" w:hint="eastAsia"/>
          <w:color w:val="000000"/>
          <w:sz w:val="32"/>
        </w:rPr>
        <w:t>.名次类奖项，第一名计一等奖，第二、三名计二等奖，第四至六名计三等奖，其余名次不予加分。</w:t>
      </w:r>
    </w:p>
    <w:p w14:paraId="486E91D9" w14:textId="77777777" w:rsidR="00A74B1D" w:rsidRDefault="00A74B1D" w:rsidP="00A74B1D">
      <w:pPr>
        <w:widowControl/>
        <w:snapToGrid w:val="0"/>
        <w:spacing w:line="360" w:lineRule="auto"/>
        <w:ind w:firstLineChars="200" w:firstLine="640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/>
          <w:color w:val="000000"/>
          <w:sz w:val="32"/>
        </w:rPr>
        <w:t>5</w:t>
      </w:r>
      <w:r>
        <w:rPr>
          <w:rFonts w:ascii="仿宋_GB2312" w:eastAsia="仿宋_GB2312" w:hAnsi="仿宋_GB2312" w:hint="eastAsia"/>
          <w:color w:val="000000"/>
          <w:sz w:val="32"/>
        </w:rPr>
        <w:t>.其他说明：</w:t>
      </w:r>
    </w:p>
    <w:p w14:paraId="54DE1975" w14:textId="77777777" w:rsidR="00A74B1D" w:rsidRDefault="00A74B1D" w:rsidP="00A74B1D">
      <w:pPr>
        <w:widowControl/>
        <w:snapToGrid w:val="0"/>
        <w:spacing w:line="360" w:lineRule="auto"/>
        <w:ind w:firstLineChars="200" w:firstLine="640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（1）加分奖项及奖项等级参照《新生院第二课堂奖项认定清单》执行，未在清单内的奖项由各学堂奖学金评审小组讨论决定；</w:t>
      </w:r>
    </w:p>
    <w:p w14:paraId="67837F5C" w14:textId="77777777" w:rsidR="00A74B1D" w:rsidRDefault="00A74B1D" w:rsidP="00A74B1D">
      <w:pPr>
        <w:widowControl/>
        <w:snapToGrid w:val="0"/>
        <w:spacing w:line="360" w:lineRule="auto"/>
        <w:ind w:firstLineChars="200" w:firstLine="640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（2</w:t>
      </w:r>
      <w:r>
        <w:rPr>
          <w:rFonts w:ascii="仿宋_GB2312" w:eastAsia="仿宋_GB2312" w:hAnsi="仿宋_GB2312"/>
          <w:color w:val="000000"/>
          <w:sz w:val="32"/>
        </w:rPr>
        <w:t>）同一作品在不同级别的竞赛中获奖，按最高级别的奖项计；</w:t>
      </w:r>
    </w:p>
    <w:p w14:paraId="3AB9CECE" w14:textId="77777777" w:rsidR="00A74B1D" w:rsidRDefault="00A74B1D" w:rsidP="00A74B1D">
      <w:pPr>
        <w:widowControl/>
        <w:snapToGrid w:val="0"/>
        <w:spacing w:line="360" w:lineRule="auto"/>
        <w:ind w:firstLineChars="200" w:firstLine="640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（3）附加分可累计，最高不超过2分</w:t>
      </w:r>
      <w:r>
        <w:rPr>
          <w:rFonts w:ascii="仿宋_GB2312" w:eastAsia="仿宋_GB2312" w:hAnsi="仿宋_GB2312"/>
          <w:color w:val="000000"/>
          <w:sz w:val="32"/>
        </w:rPr>
        <w:t>。</w:t>
      </w:r>
    </w:p>
    <w:p w14:paraId="54CF621F" w14:textId="77777777" w:rsidR="001718DD" w:rsidRPr="00A74B1D" w:rsidRDefault="001718DD">
      <w:pPr>
        <w:ind w:firstLine="600"/>
      </w:pPr>
    </w:p>
    <w:sectPr w:rsidR="001718DD" w:rsidRPr="00A74B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0266F" w14:textId="77777777" w:rsidR="00C83692" w:rsidRDefault="00C83692" w:rsidP="00A74B1D">
      <w:pPr>
        <w:ind w:firstLine="600"/>
      </w:pPr>
      <w:r>
        <w:separator/>
      </w:r>
    </w:p>
  </w:endnote>
  <w:endnote w:type="continuationSeparator" w:id="0">
    <w:p w14:paraId="49845B11" w14:textId="77777777" w:rsidR="00C83692" w:rsidRDefault="00C83692" w:rsidP="00A74B1D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7C7AE" w14:textId="77777777" w:rsidR="00A74B1D" w:rsidRDefault="00A74B1D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7375A" w14:textId="77777777" w:rsidR="00A74B1D" w:rsidRDefault="00A74B1D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79663" w14:textId="77777777" w:rsidR="00A74B1D" w:rsidRDefault="00A74B1D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CF695" w14:textId="77777777" w:rsidR="00C83692" w:rsidRDefault="00C83692" w:rsidP="00A74B1D">
      <w:pPr>
        <w:ind w:firstLine="600"/>
      </w:pPr>
      <w:r>
        <w:separator/>
      </w:r>
    </w:p>
  </w:footnote>
  <w:footnote w:type="continuationSeparator" w:id="0">
    <w:p w14:paraId="5E841B69" w14:textId="77777777" w:rsidR="00C83692" w:rsidRDefault="00C83692" w:rsidP="00A74B1D"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7C4CC" w14:textId="77777777" w:rsidR="00A74B1D" w:rsidRDefault="00A74B1D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60519" w14:textId="77777777" w:rsidR="00A74B1D" w:rsidRDefault="00A74B1D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3B3C4" w14:textId="77777777" w:rsidR="00A74B1D" w:rsidRDefault="00A74B1D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718C4"/>
    <w:multiLevelType w:val="multilevel"/>
    <w:tmpl w:val="B994F95E"/>
    <w:lvl w:ilvl="0">
      <w:start w:val="1"/>
      <w:numFmt w:val="japaneseCounting"/>
      <w:lvlText w:val="%1、"/>
      <w:lvlJc w:val="left"/>
      <w:pPr>
        <w:ind w:left="1927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2087" w:hanging="440"/>
      </w:pPr>
    </w:lvl>
    <w:lvl w:ilvl="2">
      <w:start w:val="1"/>
      <w:numFmt w:val="lowerRoman"/>
      <w:lvlText w:val="%3."/>
      <w:lvlJc w:val="right"/>
      <w:pPr>
        <w:ind w:left="2527" w:hanging="440"/>
      </w:pPr>
    </w:lvl>
    <w:lvl w:ilvl="3">
      <w:start w:val="1"/>
      <w:numFmt w:val="decimal"/>
      <w:lvlText w:val="%4."/>
      <w:lvlJc w:val="left"/>
      <w:pPr>
        <w:ind w:left="2967" w:hanging="440"/>
      </w:pPr>
    </w:lvl>
    <w:lvl w:ilvl="4">
      <w:start w:val="1"/>
      <w:numFmt w:val="lowerLetter"/>
      <w:lvlText w:val="%5)"/>
      <w:lvlJc w:val="left"/>
      <w:pPr>
        <w:ind w:left="3407" w:hanging="440"/>
      </w:pPr>
    </w:lvl>
    <w:lvl w:ilvl="5">
      <w:start w:val="1"/>
      <w:numFmt w:val="lowerRoman"/>
      <w:lvlText w:val="%6."/>
      <w:lvlJc w:val="right"/>
      <w:pPr>
        <w:ind w:left="3847" w:hanging="440"/>
      </w:pPr>
    </w:lvl>
    <w:lvl w:ilvl="6">
      <w:start w:val="1"/>
      <w:numFmt w:val="decimal"/>
      <w:lvlText w:val="%7."/>
      <w:lvlJc w:val="left"/>
      <w:pPr>
        <w:ind w:left="4287" w:hanging="440"/>
      </w:pPr>
    </w:lvl>
    <w:lvl w:ilvl="7">
      <w:start w:val="1"/>
      <w:numFmt w:val="lowerLetter"/>
      <w:lvlText w:val="%8)"/>
      <w:lvlJc w:val="left"/>
      <w:pPr>
        <w:ind w:left="4727" w:hanging="440"/>
      </w:pPr>
    </w:lvl>
    <w:lvl w:ilvl="8">
      <w:start w:val="1"/>
      <w:numFmt w:val="lowerRoman"/>
      <w:lvlText w:val="%9."/>
      <w:lvlJc w:val="right"/>
      <w:pPr>
        <w:ind w:left="5167" w:hanging="440"/>
      </w:pPr>
    </w:lvl>
  </w:abstractNum>
  <w:num w:numId="1" w16cid:durableId="88043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CCE"/>
    <w:rsid w:val="001718DD"/>
    <w:rsid w:val="003279AD"/>
    <w:rsid w:val="003A70D9"/>
    <w:rsid w:val="003B6F79"/>
    <w:rsid w:val="00A74B1D"/>
    <w:rsid w:val="00C83692"/>
    <w:rsid w:val="00DA44BD"/>
    <w:rsid w:val="00F3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F31FCE"/>
  <w15:chartTrackingRefBased/>
  <w15:docId w15:val="{813E2D0C-9578-443F-B852-A41E31308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B1D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qFormat/>
    <w:rsid w:val="003279AD"/>
    <w:pPr>
      <w:spacing w:before="100" w:beforeAutospacing="1" w:after="100" w:afterAutospacing="1" w:line="575" w:lineRule="exact"/>
      <w:jc w:val="center"/>
      <w:outlineLvl w:val="0"/>
    </w:pPr>
    <w:rPr>
      <w:rFonts w:ascii="方正小标宋简体" w:eastAsia="方正小标宋简体" w:hAnsi="方正小标宋简体" w:cs="方正小标宋简体"/>
      <w:b/>
      <w:bCs/>
      <w:kern w:val="44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DA44BD"/>
    <w:pPr>
      <w:keepNext/>
      <w:keepLines/>
      <w:outlineLvl w:val="1"/>
    </w:pPr>
    <w:rPr>
      <w:rFonts w:ascii="楷体_GB2312" w:eastAsia="楷体_GB2312" w:hAnsi="楷体_GB2312" w:cs="楷体_GB2312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F79"/>
    <w:pPr>
      <w:keepNext/>
      <w:keepLines/>
      <w:outlineLvl w:val="2"/>
    </w:pPr>
    <w:rPr>
      <w:rFonts w:ascii="楷体" w:eastAsia="楷体" w:hAnsi="楷体" w:cs="楷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3279AD"/>
    <w:rPr>
      <w:rFonts w:ascii="方正小标宋简体" w:eastAsia="方正小标宋简体" w:hAnsi="方正小标宋简体" w:cs="方正小标宋简体"/>
      <w:b/>
      <w:bCs/>
      <w:kern w:val="44"/>
      <w:sz w:val="36"/>
      <w:szCs w:val="36"/>
    </w:rPr>
  </w:style>
  <w:style w:type="character" w:customStyle="1" w:styleId="20">
    <w:name w:val="标题 2 字符"/>
    <w:basedOn w:val="a0"/>
    <w:link w:val="2"/>
    <w:uiPriority w:val="9"/>
    <w:rsid w:val="00DA44BD"/>
    <w:rPr>
      <w:rFonts w:ascii="楷体_GB2312" w:eastAsia="楷体_GB2312" w:hAnsi="楷体_GB2312" w:cs="楷体_GB2312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3B6F79"/>
    <w:rPr>
      <w:rFonts w:ascii="楷体" w:eastAsia="楷体" w:hAnsi="楷体" w:cs="楷体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A74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4B1D"/>
    <w:rPr>
      <w:rFonts w:ascii="仿宋_GB2312" w:eastAsia="仿宋_GB2312" w:hAnsi="仿宋_GB2312" w:cs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4B1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4B1D"/>
    <w:rPr>
      <w:rFonts w:ascii="仿宋_GB2312" w:eastAsia="仿宋_GB2312" w:hAnsi="仿宋_GB2312" w:cs="仿宋_GB2312"/>
      <w:sz w:val="18"/>
      <w:szCs w:val="18"/>
    </w:rPr>
  </w:style>
  <w:style w:type="table" w:styleId="a7">
    <w:name w:val="Table Grid"/>
    <w:basedOn w:val="a1"/>
    <w:uiPriority w:val="39"/>
    <w:qFormat/>
    <w:rsid w:val="00A74B1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74B1D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梓铭 任</dc:creator>
  <cp:keywords/>
  <dc:description/>
  <cp:lastModifiedBy>梓铭 任</cp:lastModifiedBy>
  <cp:revision>2</cp:revision>
  <dcterms:created xsi:type="dcterms:W3CDTF">2023-04-10T06:04:00Z</dcterms:created>
  <dcterms:modified xsi:type="dcterms:W3CDTF">2023-04-10T06:06:00Z</dcterms:modified>
</cp:coreProperties>
</file>